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C1" w:rsidRPr="00A668AA" w:rsidRDefault="00473DC1" w:rsidP="00473DC1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408736EC" wp14:editId="1E52D0B5">
            <wp:extent cx="6172200" cy="1186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Оцінка імі 2017 регламент ра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63" cy="11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DC1" w:rsidRPr="00A668AA" w:rsidRDefault="00496FF4" w:rsidP="00473DC1">
      <w:pPr>
        <w:rPr>
          <w:b/>
          <w:lang w:val="uk-UA"/>
        </w:rPr>
      </w:pPr>
      <w:r>
        <w:rPr>
          <w:b/>
          <w:lang w:val="uk-UA"/>
        </w:rPr>
        <w:t>Вих.</w:t>
      </w:r>
      <w:bookmarkStart w:id="0" w:name="_GoBack"/>
      <w:bookmarkEnd w:id="0"/>
      <w:r>
        <w:rPr>
          <w:b/>
          <w:lang w:val="uk-UA"/>
        </w:rPr>
        <w:t>№2</w:t>
      </w:r>
      <w:r w:rsidR="00473DC1">
        <w:rPr>
          <w:b/>
          <w:lang w:val="uk-UA"/>
        </w:rPr>
        <w:t xml:space="preserve"> від 5.10.2017</w:t>
      </w:r>
    </w:p>
    <w:p w:rsidR="0067595E" w:rsidRPr="00A668AA" w:rsidRDefault="0067595E" w:rsidP="0067595E">
      <w:pPr>
        <w:jc w:val="center"/>
        <w:rPr>
          <w:b/>
          <w:lang w:val="uk-UA"/>
        </w:rPr>
      </w:pPr>
    </w:p>
    <w:p w:rsidR="0067595E" w:rsidRPr="00A668AA" w:rsidRDefault="0067595E" w:rsidP="0067595E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Вінницької</w:t>
      </w:r>
      <w:r w:rsidRPr="00A668AA">
        <w:rPr>
          <w:b/>
          <w:lang w:val="uk-UA"/>
        </w:rPr>
        <w:t xml:space="preserve"> </w:t>
      </w:r>
      <w:r>
        <w:rPr>
          <w:b/>
          <w:lang w:val="uk-UA"/>
        </w:rPr>
        <w:t>обласної</w:t>
      </w:r>
      <w:r w:rsidRPr="00A668AA">
        <w:rPr>
          <w:b/>
          <w:lang w:val="uk-UA"/>
        </w:rPr>
        <w:t xml:space="preserve"> ради,</w:t>
      </w:r>
    </w:p>
    <w:p w:rsidR="0067595E" w:rsidRPr="00A668AA" w:rsidRDefault="0067595E" w:rsidP="0067595E">
      <w:pPr>
        <w:pStyle w:val="a5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67595E" w:rsidRPr="00A668AA" w:rsidRDefault="0067595E" w:rsidP="0067595E">
      <w:pPr>
        <w:pStyle w:val="a5"/>
        <w:keepNext/>
        <w:rPr>
          <w:rFonts w:asciiTheme="minorHAnsi" w:hAnsiTheme="minorHAnsi"/>
          <w:sz w:val="22"/>
          <w:szCs w:val="22"/>
          <w:lang w:val="uk-UA"/>
        </w:rPr>
      </w:pP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проаналізувала Регламент </w:t>
      </w:r>
      <w:r>
        <w:rPr>
          <w:rFonts w:asciiTheme="minorHAnsi" w:hAnsiTheme="minorHAnsi"/>
          <w:sz w:val="22"/>
          <w:szCs w:val="22"/>
          <w:lang w:val="uk-UA"/>
        </w:rPr>
        <w:t>Вінницької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 та пропонує Вам розглянути розроблені нами рекомендації щодо процедури акредитації журналістів та працівників засобів масової інформації.</w:t>
      </w:r>
    </w:p>
    <w:p w:rsidR="0067595E" w:rsidRPr="00A668AA" w:rsidRDefault="0067595E" w:rsidP="0067595E">
      <w:pPr>
        <w:pStyle w:val="a5"/>
        <w:keepNext/>
        <w:rPr>
          <w:b/>
          <w:lang w:val="uk-UA"/>
        </w:rPr>
      </w:pPr>
    </w:p>
    <w:p w:rsidR="0067595E" w:rsidRPr="00A668AA" w:rsidRDefault="0067595E" w:rsidP="00496FF4">
      <w:pPr>
        <w:jc w:val="center"/>
        <w:rPr>
          <w:b/>
          <w:lang w:val="uk-UA"/>
        </w:rPr>
      </w:pPr>
      <w:r w:rsidRPr="00A668AA">
        <w:rPr>
          <w:b/>
          <w:lang w:val="uk-UA"/>
        </w:rPr>
        <w:t>РЕКОМЕНДАЦІЇ</w:t>
      </w:r>
    </w:p>
    <w:p w:rsidR="0067595E" w:rsidRPr="00A668AA" w:rsidRDefault="0067595E" w:rsidP="00496FF4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ДЛЯ </w:t>
      </w:r>
      <w:r>
        <w:rPr>
          <w:b/>
          <w:lang w:val="uk-UA"/>
        </w:rPr>
        <w:t>ВІННИЦЬКОЇ</w:t>
      </w:r>
      <w:r w:rsidRPr="00A668AA">
        <w:rPr>
          <w:b/>
          <w:lang w:val="uk-UA"/>
        </w:rPr>
        <w:t xml:space="preserve"> ОБЛАСНОЇ РАДИ</w:t>
      </w:r>
    </w:p>
    <w:p w:rsidR="0067595E" w:rsidRDefault="0067595E" w:rsidP="00496FF4">
      <w:pPr>
        <w:jc w:val="center"/>
        <w:rPr>
          <w:b/>
          <w:lang w:val="uk-UA"/>
        </w:rPr>
      </w:pPr>
      <w:r w:rsidRPr="000E1835">
        <w:rPr>
          <w:b/>
          <w:lang w:val="uk-UA"/>
        </w:rPr>
        <w:t>ЩОДО</w:t>
      </w:r>
      <w:r>
        <w:rPr>
          <w:b/>
          <w:lang w:val="uk-UA"/>
        </w:rPr>
        <w:t xml:space="preserve"> ВІДКРИТОСТІ ТА ГЛАСНОСТІ РОБОТИ РАДИ ТА ЗАБЕЗПЕЧЕННЯ ЗДІЙСНЕННЯ СВОЇХ ОБОВ</w:t>
      </w:r>
      <w:r w:rsidRPr="00B31FEE">
        <w:rPr>
          <w:b/>
          <w:lang w:val="uk-UA"/>
        </w:rPr>
        <w:t>’</w:t>
      </w:r>
      <w:r>
        <w:rPr>
          <w:b/>
          <w:lang w:val="uk-UA"/>
        </w:rPr>
        <w:t>ЯЗКІВ ПРЕДСТАВНИКАМИ</w:t>
      </w:r>
      <w:r w:rsidRPr="000E1835">
        <w:rPr>
          <w:b/>
          <w:lang w:val="uk-UA"/>
        </w:rPr>
        <w:t xml:space="preserve"> ЗАСОБІВ МАСОВОЇ ІНФОРМАЦІЇ</w:t>
      </w:r>
    </w:p>
    <w:p w:rsidR="0067595E" w:rsidRPr="00A668AA" w:rsidRDefault="0067595E" w:rsidP="0067595E">
      <w:pPr>
        <w:rPr>
          <w:b/>
          <w:lang w:val="uk-UA"/>
        </w:rPr>
      </w:pPr>
    </w:p>
    <w:p w:rsidR="0067595E" w:rsidRDefault="0067595E" w:rsidP="0067595E">
      <w:pPr>
        <w:jc w:val="both"/>
        <w:rPr>
          <w:rFonts w:eastAsia="Calibri" w:cs="Times New Roman"/>
          <w:bCs/>
          <w:lang w:val="uk-UA"/>
        </w:rPr>
      </w:pPr>
      <w:r w:rsidRPr="00A668AA">
        <w:rPr>
          <w:rFonts w:eastAsia="Calibri" w:cs="Times New Roman"/>
          <w:bCs/>
          <w:lang w:val="uk-UA"/>
        </w:rPr>
        <w:t>Регламент</w:t>
      </w:r>
      <w:r>
        <w:rPr>
          <w:rFonts w:eastAsia="Calibri" w:cs="Times New Roman"/>
          <w:bCs/>
          <w:lang w:val="uk-UA"/>
        </w:rPr>
        <w:t>ом</w:t>
      </w:r>
      <w:r w:rsidRPr="00A668AA">
        <w:rPr>
          <w:rFonts w:eastAsia="Calibri" w:cs="Times New Roman"/>
          <w:bCs/>
          <w:lang w:val="uk-UA"/>
        </w:rPr>
        <w:t xml:space="preserve"> роботи </w:t>
      </w:r>
      <w:r>
        <w:rPr>
          <w:rFonts w:eastAsia="Calibri" w:cs="Times New Roman"/>
          <w:bCs/>
          <w:lang w:val="uk-UA"/>
        </w:rPr>
        <w:t>Вінницької</w:t>
      </w:r>
      <w:r w:rsidRPr="00A668AA">
        <w:rPr>
          <w:rFonts w:eastAsia="Calibri" w:cs="Times New Roman"/>
          <w:bCs/>
          <w:lang w:val="uk-UA"/>
        </w:rPr>
        <w:t xml:space="preserve"> </w:t>
      </w:r>
      <w:r>
        <w:rPr>
          <w:rFonts w:eastAsia="Calibri" w:cs="Times New Roman"/>
          <w:bCs/>
          <w:lang w:val="uk-UA"/>
        </w:rPr>
        <w:t>обласної</w:t>
      </w:r>
      <w:r w:rsidRPr="00A668AA">
        <w:rPr>
          <w:rFonts w:eastAsia="Calibri" w:cs="Times New Roman"/>
          <w:bCs/>
          <w:lang w:val="uk-UA"/>
        </w:rPr>
        <w:t xml:space="preserve"> ради передбачено </w:t>
      </w:r>
      <w:r>
        <w:rPr>
          <w:rFonts w:eastAsia="Calibri" w:cs="Times New Roman"/>
          <w:bCs/>
          <w:lang w:val="uk-UA"/>
        </w:rPr>
        <w:t xml:space="preserve">проведення сесій Рали гласно із забезпеченням права кожного бути присутнім на них, крім випадків, визначених законодавством. </w:t>
      </w:r>
      <w:r w:rsidR="009325A0">
        <w:rPr>
          <w:rFonts w:eastAsia="Calibri" w:cs="Times New Roman"/>
          <w:bCs/>
          <w:lang w:val="uk-UA"/>
        </w:rPr>
        <w:t xml:space="preserve">Порядок доступу до засідань визначається Радою відповідно до чинного законодавства України та Регламенту. </w:t>
      </w:r>
      <w:r>
        <w:rPr>
          <w:rFonts w:eastAsia="Calibri" w:cs="Times New Roman"/>
          <w:bCs/>
          <w:lang w:val="uk-UA"/>
        </w:rPr>
        <w:t>Кількість і категорії осіб, які не є депутатами і офіційно запрошуються на сесію, визначає голова Ради та президія Ради. Головуючий на пленарному засіданні Ради повідомляє депутатів про осіб, які офіційно запрошені та присутні на пленарному засіданні Ради.</w:t>
      </w:r>
    </w:p>
    <w:p w:rsidR="0067595E" w:rsidRDefault="0067595E" w:rsidP="0067595E">
      <w:pPr>
        <w:jc w:val="both"/>
        <w:rPr>
          <w:rFonts w:eastAsia="Calibri" w:cs="Times New Roman"/>
          <w:bCs/>
          <w:lang w:val="uk-UA"/>
        </w:rPr>
      </w:pPr>
      <w:r>
        <w:rPr>
          <w:rFonts w:eastAsia="Calibri" w:cs="Times New Roman"/>
          <w:bCs/>
          <w:lang w:val="uk-UA"/>
        </w:rPr>
        <w:t>Пунктом 3 статті 8 Регламенту визначено, що в сесійній залі (2 поверх приміщення Ради) розміщуються:</w:t>
      </w:r>
    </w:p>
    <w:p w:rsidR="0067595E" w:rsidRDefault="0067595E" w:rsidP="0067595E">
      <w:pPr>
        <w:pStyle w:val="a7"/>
        <w:numPr>
          <w:ilvl w:val="0"/>
          <w:numId w:val="2"/>
        </w:numPr>
        <w:jc w:val="both"/>
        <w:rPr>
          <w:rFonts w:eastAsia="Calibri" w:cs="Times New Roman"/>
          <w:bCs/>
          <w:lang w:val="uk-UA"/>
        </w:rPr>
      </w:pPr>
      <w:r>
        <w:rPr>
          <w:rFonts w:eastAsia="Calibri" w:cs="Times New Roman"/>
          <w:bCs/>
          <w:lang w:val="uk-UA"/>
        </w:rPr>
        <w:t>…</w:t>
      </w:r>
    </w:p>
    <w:p w:rsidR="0067595E" w:rsidRDefault="0067595E" w:rsidP="0067595E">
      <w:pPr>
        <w:pStyle w:val="a7"/>
        <w:numPr>
          <w:ilvl w:val="0"/>
          <w:numId w:val="2"/>
        </w:numPr>
        <w:jc w:val="both"/>
        <w:rPr>
          <w:rFonts w:eastAsia="Calibri" w:cs="Times New Roman"/>
          <w:bCs/>
          <w:lang w:val="uk-UA"/>
        </w:rPr>
      </w:pPr>
      <w:r>
        <w:rPr>
          <w:rFonts w:eastAsia="Calibri" w:cs="Times New Roman"/>
          <w:bCs/>
          <w:lang w:val="uk-UA"/>
        </w:rPr>
        <w:t>представники засобів масової інформації, які акредитовані для висвітлення роботи пленарного засідання сесії Ради.</w:t>
      </w:r>
    </w:p>
    <w:p w:rsidR="0067595E" w:rsidRPr="00886878" w:rsidRDefault="0067595E" w:rsidP="0067595E">
      <w:pPr>
        <w:jc w:val="both"/>
        <w:rPr>
          <w:rFonts w:eastAsia="Calibri" w:cs="Times New Roman"/>
          <w:bCs/>
          <w:lang w:val="uk-UA"/>
        </w:rPr>
      </w:pPr>
      <w:r>
        <w:rPr>
          <w:rFonts w:eastAsia="Calibri" w:cs="Times New Roman"/>
          <w:bCs/>
          <w:lang w:val="uk-UA"/>
        </w:rPr>
        <w:t xml:space="preserve">Крім того пунктом 3 статті 9 Регламенту передбачено, що представники засобів масової інформації </w:t>
      </w:r>
      <w:r w:rsidRPr="00886878">
        <w:rPr>
          <w:rFonts w:eastAsia="Calibri" w:cs="Times New Roman"/>
          <w:bCs/>
          <w:lang w:val="uk-UA"/>
        </w:rPr>
        <w:t>можуть бути акредитованими при Раді на певний строк або на весь час скликання Ради. Виконавчий апарат Ради повідомляє акредитованих представників засобів масової інформації про час проведення і порядок денний сесії Ради, засідань постійних комісій, знайомить їх з матеріалами, що підготовленні для депутатів.</w:t>
      </w:r>
    </w:p>
    <w:p w:rsidR="00886878" w:rsidRPr="00886878" w:rsidRDefault="00886878" w:rsidP="00886878">
      <w:pPr>
        <w:jc w:val="both"/>
        <w:rPr>
          <w:lang w:val="uk-UA"/>
        </w:rPr>
      </w:pPr>
      <w:r w:rsidRPr="00886878">
        <w:rPr>
          <w:lang w:val="uk-UA"/>
        </w:rPr>
        <w:t xml:space="preserve">Відсутність акредитації прямо не визначено як підставу для відмови у допуску, проте у Регламенті передбачено можливість перебування у сесійній залі тільки для акредитованих. Відповідно </w:t>
      </w:r>
      <w:r w:rsidRPr="00886878">
        <w:rPr>
          <w:lang w:val="uk-UA"/>
        </w:rPr>
        <w:lastRenderedPageBreak/>
        <w:t>недотримуються принципи рівності і справедливості, оскільки можливість перебування у сесійній залі передбачено тільки для акредитованих.</w:t>
      </w:r>
    </w:p>
    <w:p w:rsidR="00886878" w:rsidRPr="00886878" w:rsidRDefault="00886878" w:rsidP="00886878">
      <w:pPr>
        <w:jc w:val="both"/>
        <w:rPr>
          <w:lang w:val="uk-UA"/>
        </w:rPr>
      </w:pPr>
      <w:r w:rsidRPr="00886878">
        <w:rPr>
          <w:lang w:val="uk-UA"/>
        </w:rPr>
        <w:t>Також не визначено процедуру припинення акредитації і відповідно порядок оскарження такого рішення чи можливість оскарження до суду.</w:t>
      </w:r>
    </w:p>
    <w:p w:rsidR="0067595E" w:rsidRPr="00A668AA" w:rsidRDefault="0067595E" w:rsidP="0067595E">
      <w:pPr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7595E" w:rsidRPr="00A668AA" w:rsidTr="00903080">
        <w:tc>
          <w:tcPr>
            <w:tcW w:w="4814" w:type="dxa"/>
          </w:tcPr>
          <w:p w:rsidR="0067595E" w:rsidRPr="00A668AA" w:rsidRDefault="0067595E" w:rsidP="00886878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t xml:space="preserve">Проблемні питання </w:t>
            </w:r>
            <w:r>
              <w:rPr>
                <w:b/>
                <w:lang w:val="uk-UA"/>
              </w:rPr>
              <w:t>Регламенту роботи ради</w:t>
            </w:r>
          </w:p>
        </w:tc>
        <w:tc>
          <w:tcPr>
            <w:tcW w:w="4815" w:type="dxa"/>
          </w:tcPr>
          <w:p w:rsidR="0067595E" w:rsidRPr="00A668AA" w:rsidRDefault="0067595E" w:rsidP="00903080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t>Коментар щодо приведення у відповідність до чинного законодавства</w:t>
            </w:r>
          </w:p>
        </w:tc>
      </w:tr>
      <w:tr w:rsidR="0067595E" w:rsidRPr="00576D7C" w:rsidTr="00903080">
        <w:tc>
          <w:tcPr>
            <w:tcW w:w="4814" w:type="dxa"/>
          </w:tcPr>
          <w:p w:rsidR="0067595E" w:rsidRPr="00A668AA" w:rsidRDefault="009325A0" w:rsidP="009030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частині 2 статті 8 Регламенту вказано, що кількість і категорії осіб, які не є депутатами і офіційно запрошуються на сесію, визначає голова Ради та президія Ради.</w:t>
            </w:r>
          </w:p>
        </w:tc>
        <w:tc>
          <w:tcPr>
            <w:tcW w:w="4815" w:type="dxa"/>
          </w:tcPr>
          <w:p w:rsidR="0067595E" w:rsidRPr="00F775F1" w:rsidRDefault="009325A0" w:rsidP="00903080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Варто відзначити, що згідно з чинним законодавством сесії ради є відкритими для всіх без встановлення дозволів чи обмежень з боку голови Ради. Відсутність офіційного запрошення чи акредитації не може бути підставою для недопущення як журналістів, так і інших осіб до засідання ради.</w:t>
            </w:r>
          </w:p>
        </w:tc>
      </w:tr>
      <w:tr w:rsidR="0067595E" w:rsidRPr="00496FF4" w:rsidTr="00903080">
        <w:tc>
          <w:tcPr>
            <w:tcW w:w="4814" w:type="dxa"/>
          </w:tcPr>
          <w:p w:rsidR="0067595E" w:rsidRPr="009325A0" w:rsidRDefault="009325A0" w:rsidP="009030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частині 3 статті 8 Регламенту визначено список осіб, що розміщуються у сесійній залі, серед яких зазначені саме представники засобів масової інформації, які акредитовані для висвітлення роботи пленарного засідання сесії Ради.</w:t>
            </w:r>
          </w:p>
        </w:tc>
        <w:tc>
          <w:tcPr>
            <w:tcW w:w="4815" w:type="dxa"/>
          </w:tcPr>
          <w:p w:rsidR="0067595E" w:rsidRPr="00F775F1" w:rsidRDefault="009325A0" w:rsidP="00903080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Аналогічно до попереднього, необхідним є нагадати, що згідно з положеннями ч. 1 ст. 26 Закону України «Про інформацію», відсутність акредитації не може бути підставою для відмови у допуску журналістів, представників засобів масової інформації на відкриті заходи, що проводить суб’єкт владних повноважень.</w:t>
            </w:r>
          </w:p>
        </w:tc>
      </w:tr>
      <w:tr w:rsidR="0067595E" w:rsidRPr="009325A0" w:rsidTr="00903080">
        <w:tc>
          <w:tcPr>
            <w:tcW w:w="4814" w:type="dxa"/>
          </w:tcPr>
          <w:p w:rsidR="0067595E" w:rsidRPr="00065D5C" w:rsidRDefault="00065D5C" w:rsidP="009030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частині 3 статті 8 Регламенту визначено розподіл можливостей перебування акредитованих осіб (можуть перебувати на 2 поверсі у самій сесійній залі) та інших осіб, які офіційно запрошені чи особи, які бажають просто бути присутніми (сюди входять і журналісти, що не акредитувалися, наприклад, які можуть перебувати тільки на балконі сесійної зали.</w:t>
            </w:r>
          </w:p>
        </w:tc>
        <w:tc>
          <w:tcPr>
            <w:tcW w:w="4815" w:type="dxa"/>
          </w:tcPr>
          <w:p w:rsidR="0067595E" w:rsidRPr="00F775F1" w:rsidRDefault="00065D5C" w:rsidP="00903080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Такого роду сегрегація може порушувати принципі рівності та справедливості, що визначені ч. 1 ст. 26 Закону про інформацію.</w:t>
            </w:r>
          </w:p>
        </w:tc>
      </w:tr>
      <w:tr w:rsidR="00211CC3" w:rsidRPr="009325A0" w:rsidTr="00903080">
        <w:tc>
          <w:tcPr>
            <w:tcW w:w="4814" w:type="dxa"/>
          </w:tcPr>
          <w:p w:rsidR="00211CC3" w:rsidRDefault="00211CC3" w:rsidP="00211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у частині 3 статті 8 Регламенту зазначено про неможливість втручання у роботу сесії з боку запрошених осіб та осіб, які бажають бути присутніми на пленарному засіданні Ради і зобов’язані утримуватися від схвалення чи незгоди.</w:t>
            </w:r>
          </w:p>
        </w:tc>
        <w:tc>
          <w:tcPr>
            <w:tcW w:w="4815" w:type="dxa"/>
          </w:tcPr>
          <w:p w:rsidR="00211CC3" w:rsidRDefault="00211CC3" w:rsidP="00211CC3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Скоріше варто говорити про дотримання правил внутрішнього трудового розпорядку та не порушувати громадський спокій та безпеку, оскільки поняття «схвалення» та «незгоди» є дуже загальними та можуть мати невизначені форми для можливості позбавлення таких людей права перебувати на відкритому заході суб’єкту владних повноважень.</w:t>
            </w:r>
          </w:p>
        </w:tc>
      </w:tr>
      <w:tr w:rsidR="00211CC3" w:rsidRPr="009325A0" w:rsidTr="00211CC3">
        <w:tc>
          <w:tcPr>
            <w:tcW w:w="4814" w:type="dxa"/>
          </w:tcPr>
          <w:p w:rsidR="00211CC3" w:rsidRDefault="00211CC3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Частиною 3 статті 9 Регламенту визначено можливість акредитації журналістів та низку обов’язків виконавчого апарату Ради щодо акредитованих журналістів.</w:t>
            </w:r>
          </w:p>
        </w:tc>
        <w:tc>
          <w:tcPr>
            <w:tcW w:w="4815" w:type="dxa"/>
          </w:tcPr>
          <w:p w:rsidR="00211CC3" w:rsidRDefault="00211CC3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Варто відзначити, що за відсутності окремо прийнятого порядку про акредитацію є абсолютно неповними та такими, що не можуть реалізовуватися норми Регламенту, що стосуються процедури акредитації.</w:t>
            </w:r>
          </w:p>
        </w:tc>
      </w:tr>
    </w:tbl>
    <w:p w:rsidR="0067595E" w:rsidRPr="00A668AA" w:rsidRDefault="0067595E" w:rsidP="0067595E">
      <w:pPr>
        <w:jc w:val="both"/>
        <w:rPr>
          <w:b/>
          <w:lang w:val="uk-UA"/>
        </w:rPr>
      </w:pPr>
    </w:p>
    <w:p w:rsidR="0067595E" w:rsidRPr="00A668AA" w:rsidRDefault="0067595E" w:rsidP="0067595E">
      <w:pPr>
        <w:jc w:val="both"/>
        <w:rPr>
          <w:lang w:val="uk-UA"/>
        </w:rPr>
      </w:pPr>
      <w:r w:rsidRPr="00A668AA">
        <w:rPr>
          <w:lang w:val="uk-UA"/>
        </w:rPr>
        <w:lastRenderedPageBreak/>
        <w:t>З усіх інших питань та процедур щодо реалізації відкритості та гласності роботи ради, а також реалізацію права на доступ засобів масової інформації до суб’єкту владних повноважень вважаємо задовільними чинні положення та процедури та такими, що відповідають чинному законодавству про інформацію.</w:t>
      </w:r>
    </w:p>
    <w:p w:rsidR="0067595E" w:rsidRPr="00A668AA" w:rsidRDefault="0067595E" w:rsidP="0067595E">
      <w:pPr>
        <w:jc w:val="both"/>
        <w:rPr>
          <w:b/>
          <w:lang w:val="uk-UA"/>
        </w:rPr>
      </w:pPr>
    </w:p>
    <w:p w:rsidR="0067595E" w:rsidRPr="00A668AA" w:rsidRDefault="0067595E" w:rsidP="0067595E">
      <w:pPr>
        <w:pStyle w:val="a4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A668AA">
        <w:rPr>
          <w:rFonts w:asciiTheme="minorHAnsi" w:hAnsiTheme="minorHAnsi"/>
          <w:b/>
          <w:sz w:val="22"/>
          <w:szCs w:val="22"/>
        </w:rPr>
        <w:t xml:space="preserve">Пропонуємо дані рекомендації та викладений нижче проект рішення </w:t>
      </w:r>
      <w:r w:rsidR="00065D5C">
        <w:rPr>
          <w:rFonts w:asciiTheme="minorHAnsi" w:hAnsiTheme="minorHAnsi"/>
          <w:b/>
          <w:sz w:val="22"/>
          <w:szCs w:val="22"/>
        </w:rPr>
        <w:t>Вінницької</w:t>
      </w:r>
      <w:r>
        <w:rPr>
          <w:rFonts w:asciiTheme="minorHAnsi" w:hAnsiTheme="minorHAnsi"/>
          <w:b/>
          <w:sz w:val="22"/>
          <w:szCs w:val="22"/>
        </w:rPr>
        <w:t xml:space="preserve"> обласної</w:t>
      </w:r>
      <w:r w:rsidRPr="00A668AA">
        <w:rPr>
          <w:rFonts w:asciiTheme="minorHAnsi" w:hAnsiTheme="minorHAnsi"/>
          <w:b/>
          <w:sz w:val="22"/>
          <w:szCs w:val="22"/>
        </w:rPr>
        <w:t xml:space="preserve"> ради</w:t>
      </w:r>
      <w:r w:rsidRPr="00A668AA">
        <w:rPr>
          <w:rFonts w:asciiTheme="minorHAnsi" w:hAnsiTheme="minorHAnsi"/>
          <w:sz w:val="22"/>
          <w:szCs w:val="22"/>
        </w:rPr>
        <w:t xml:space="preserve"> розглянути на черговому засіданні постійної Комісії з питань </w:t>
      </w:r>
      <w:r>
        <w:rPr>
          <w:rFonts w:asciiTheme="minorHAnsi" w:hAnsiTheme="minorHAnsi"/>
          <w:color w:val="202020"/>
          <w:sz w:val="22"/>
          <w:szCs w:val="22"/>
        </w:rPr>
        <w:t>регламенту та депутатської етики</w:t>
      </w:r>
      <w:r w:rsidRPr="00A668AA">
        <w:rPr>
          <w:rFonts w:asciiTheme="minorHAnsi" w:hAnsiTheme="minorHAnsi"/>
          <w:color w:val="202020"/>
          <w:sz w:val="22"/>
          <w:szCs w:val="22"/>
        </w:rPr>
        <w:t xml:space="preserve"> </w:t>
      </w:r>
      <w:r w:rsidRPr="00A668AA">
        <w:rPr>
          <w:rFonts w:asciiTheme="minorHAnsi" w:hAnsiTheme="minorHAnsi"/>
          <w:sz w:val="22"/>
          <w:szCs w:val="22"/>
        </w:rPr>
        <w:t xml:space="preserve">та винести його на розгляд </w:t>
      </w:r>
      <w:r w:rsidR="00065D5C">
        <w:rPr>
          <w:rFonts w:asciiTheme="minorHAnsi" w:hAnsiTheme="minorHAnsi"/>
          <w:sz w:val="22"/>
          <w:szCs w:val="22"/>
        </w:rPr>
        <w:t>Вінницької</w:t>
      </w:r>
      <w:r>
        <w:rPr>
          <w:rFonts w:asciiTheme="minorHAnsi" w:hAnsiTheme="minorHAnsi"/>
          <w:sz w:val="22"/>
          <w:szCs w:val="22"/>
        </w:rPr>
        <w:t xml:space="preserve"> обласної</w:t>
      </w:r>
      <w:r w:rsidRPr="00A668AA">
        <w:rPr>
          <w:rFonts w:asciiTheme="minorHAnsi" w:hAnsiTheme="minorHAnsi"/>
          <w:sz w:val="22"/>
          <w:szCs w:val="22"/>
        </w:rPr>
        <w:t xml:space="preserve"> ради.</w:t>
      </w:r>
    </w:p>
    <w:p w:rsidR="0067595E" w:rsidRPr="00A668AA" w:rsidRDefault="0067595E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67595E" w:rsidRPr="00A668AA" w:rsidRDefault="0067595E" w:rsidP="0067595E">
      <w:pPr>
        <w:jc w:val="both"/>
        <w:rPr>
          <w:lang w:val="uk-UA"/>
        </w:rPr>
      </w:pPr>
    </w:p>
    <w:p w:rsidR="0067595E" w:rsidRPr="00A668AA" w:rsidRDefault="0067595E" w:rsidP="0067595E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67595E" w:rsidRPr="00A668AA" w:rsidRDefault="0067595E" w:rsidP="0067595E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67595E" w:rsidRPr="00A668AA" w:rsidRDefault="0067595E" w:rsidP="0067595E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67595E" w:rsidRDefault="0067595E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65D5C" w:rsidRDefault="00065D5C" w:rsidP="0067595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67595E" w:rsidRPr="00A668AA" w:rsidRDefault="0067595E" w:rsidP="0067595E">
      <w:pPr>
        <w:jc w:val="right"/>
        <w:rPr>
          <w:b/>
          <w:lang w:val="uk-UA"/>
        </w:rPr>
      </w:pPr>
      <w:r w:rsidRPr="00A668AA">
        <w:rPr>
          <w:b/>
          <w:lang w:val="uk-UA"/>
        </w:rPr>
        <w:t>ДОДАТОК</w:t>
      </w:r>
    </w:p>
    <w:p w:rsidR="0067595E" w:rsidRPr="00A668AA" w:rsidRDefault="0067595E" w:rsidP="0067595E">
      <w:pPr>
        <w:rPr>
          <w:b/>
          <w:lang w:val="uk-UA"/>
        </w:rPr>
      </w:pPr>
      <w:r w:rsidRPr="00A668AA">
        <w:rPr>
          <w:b/>
          <w:lang w:val="uk-UA"/>
        </w:rPr>
        <w:t>Проект рішення</w:t>
      </w:r>
    </w:p>
    <w:p w:rsidR="0067595E" w:rsidRPr="00A668AA" w:rsidRDefault="0067595E" w:rsidP="0067595E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РІШЕННЯ ПРО ВНЕСЕННЯ ЗМІН ДО ЧИННОГО РЕГЛАМЕНТУ З МЕТОЮ ПРИВЕДЕННЯ ПОЛОЖЕНЬ ЩОДО ВІДКРИТОСТІ І ГЛАСНОСТІ РОБОТИ </w:t>
      </w:r>
      <w:r w:rsidR="00065D5C">
        <w:rPr>
          <w:b/>
          <w:lang w:val="uk-UA"/>
        </w:rPr>
        <w:t>ВІННИЦЬКОЇ</w:t>
      </w:r>
      <w:r w:rsidRPr="00A668AA">
        <w:rPr>
          <w:b/>
          <w:lang w:val="uk-UA"/>
        </w:rPr>
        <w:t xml:space="preserve"> ОБЛАСНОЇ РАДИ У ВІДПОВІДНІСТЬ ДО ВИМОГ ЧИННОГО ЗАКОНОДАВСТВА УКРАЇНИ</w:t>
      </w:r>
    </w:p>
    <w:p w:rsidR="0067595E" w:rsidRPr="00A668AA" w:rsidRDefault="0067595E" w:rsidP="0067595E">
      <w:pPr>
        <w:jc w:val="center"/>
        <w:rPr>
          <w:b/>
          <w:lang w:val="uk-UA"/>
        </w:rPr>
      </w:pPr>
    </w:p>
    <w:p w:rsidR="0067595E" w:rsidRDefault="0067595E" w:rsidP="0067595E">
      <w:pPr>
        <w:jc w:val="both"/>
        <w:rPr>
          <w:lang w:val="uk-UA"/>
        </w:rPr>
      </w:pPr>
      <w:r w:rsidRPr="00A668AA">
        <w:rPr>
          <w:lang w:val="uk-UA"/>
        </w:rPr>
        <w:t xml:space="preserve">З метою приведення положень Регламенту </w:t>
      </w:r>
      <w:r w:rsidR="00065D5C">
        <w:rPr>
          <w:lang w:val="uk-UA"/>
        </w:rPr>
        <w:t>Вінницької</w:t>
      </w:r>
      <w:r w:rsidRPr="00A668AA">
        <w:rPr>
          <w:lang w:val="uk-UA"/>
        </w:rPr>
        <w:t xml:space="preserve"> обласної ради у відповідність до положень чинного</w:t>
      </w:r>
      <w:r>
        <w:rPr>
          <w:lang w:val="uk-UA"/>
        </w:rPr>
        <w:t xml:space="preserve"> законодавства</w:t>
      </w:r>
      <w:r w:rsidRPr="00A668AA">
        <w:rPr>
          <w:lang w:val="uk-UA"/>
        </w:rPr>
        <w:t>:</w:t>
      </w:r>
    </w:p>
    <w:p w:rsidR="0067595E" w:rsidRDefault="00065D5C" w:rsidP="00065D5C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частині 3 статті 8 Регламенту виключити слова «</w:t>
      </w:r>
      <w:r w:rsidRPr="00211CC3">
        <w:rPr>
          <w:i/>
          <w:lang w:val="uk-UA"/>
        </w:rPr>
        <w:t>, які акредитовані для висвітлення роботи пленарного засідання сесії Ради</w:t>
      </w:r>
      <w:r>
        <w:rPr>
          <w:lang w:val="uk-UA"/>
        </w:rPr>
        <w:t>».</w:t>
      </w:r>
    </w:p>
    <w:p w:rsidR="00065D5C" w:rsidRDefault="00211CC3" w:rsidP="00065D5C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частині 3 статті 8 Регламенту слова «</w:t>
      </w:r>
      <w:r w:rsidRPr="00211CC3">
        <w:rPr>
          <w:i/>
          <w:lang w:val="uk-UA"/>
        </w:rPr>
        <w:t>схвалення чи незгоди» замінити на «порушення громадського порядку у будь-яких формах</w:t>
      </w:r>
      <w:r>
        <w:rPr>
          <w:lang w:val="uk-UA"/>
        </w:rPr>
        <w:t>».</w:t>
      </w:r>
    </w:p>
    <w:p w:rsidR="00211CC3" w:rsidRPr="00065D5C" w:rsidRDefault="00211CC3" w:rsidP="00065D5C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Частину 3 статті 9 Регламенти виключити повністю.</w:t>
      </w:r>
    </w:p>
    <w:p w:rsidR="0017238E" w:rsidRPr="0067595E" w:rsidRDefault="0017238E">
      <w:pPr>
        <w:rPr>
          <w:lang w:val="uk-UA"/>
        </w:rPr>
      </w:pPr>
    </w:p>
    <w:sectPr w:rsidR="0017238E" w:rsidRPr="00675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3F8"/>
    <w:multiLevelType w:val="hybridMultilevel"/>
    <w:tmpl w:val="2E4C8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615DC"/>
    <w:multiLevelType w:val="hybridMultilevel"/>
    <w:tmpl w:val="04AA64D0"/>
    <w:lvl w:ilvl="0" w:tplc="9ADA13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5E"/>
    <w:rsid w:val="00065D5C"/>
    <w:rsid w:val="0017238E"/>
    <w:rsid w:val="00211CC3"/>
    <w:rsid w:val="00473DC1"/>
    <w:rsid w:val="00496FF4"/>
    <w:rsid w:val="0067595E"/>
    <w:rsid w:val="00886878"/>
    <w:rsid w:val="009325A0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F8F8"/>
  <w15:chartTrackingRefBased/>
  <w15:docId w15:val="{D458C6FE-3756-413A-A2E0-CCF71041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link w:val="a6"/>
    <w:rsid w:val="0067595E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6">
    <w:name w:val="Основной текст Знак"/>
    <w:basedOn w:val="a0"/>
    <w:link w:val="a5"/>
    <w:rsid w:val="0067595E"/>
    <w:rPr>
      <w:rFonts w:ascii="Arial" w:eastAsia="Times New Roman" w:hAnsi="Arial" w:cs="Arial"/>
      <w:sz w:val="20"/>
      <w:szCs w:val="18"/>
      <w:lang w:val="en-US" w:eastAsia="uk-UA"/>
    </w:rPr>
  </w:style>
  <w:style w:type="paragraph" w:styleId="a7">
    <w:name w:val="List Paragraph"/>
    <w:basedOn w:val="a"/>
    <w:uiPriority w:val="34"/>
    <w:qFormat/>
    <w:rsid w:val="0067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5A73-6897-49B0-945B-7B061EDA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3991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5</cp:revision>
  <dcterms:created xsi:type="dcterms:W3CDTF">2017-09-29T08:13:00Z</dcterms:created>
  <dcterms:modified xsi:type="dcterms:W3CDTF">2017-10-04T07:58:00Z</dcterms:modified>
</cp:coreProperties>
</file>