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A0" w:rsidRDefault="00C639A0" w:rsidP="00C639A0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A0" w:rsidRDefault="00320B39" w:rsidP="00C639A0">
      <w:pPr>
        <w:rPr>
          <w:b/>
          <w:lang w:val="uk-UA"/>
        </w:rPr>
      </w:pPr>
      <w:r>
        <w:rPr>
          <w:b/>
          <w:lang w:val="uk-UA"/>
        </w:rPr>
        <w:t>Вих.№13</w:t>
      </w:r>
      <w:r w:rsidR="00C639A0">
        <w:rPr>
          <w:b/>
          <w:lang w:val="uk-UA"/>
        </w:rPr>
        <w:t xml:space="preserve"> від 5.10.2017</w:t>
      </w:r>
    </w:p>
    <w:p w:rsidR="00ED6CB9" w:rsidRDefault="00ED6CB9" w:rsidP="00ED6CB9">
      <w:pPr>
        <w:jc w:val="center"/>
        <w:rPr>
          <w:b/>
          <w:lang w:val="uk-UA"/>
        </w:rPr>
      </w:pPr>
    </w:p>
    <w:p w:rsidR="00C2207B" w:rsidRPr="00A668AA" w:rsidRDefault="00C2207B" w:rsidP="00ED6CB9">
      <w:pPr>
        <w:jc w:val="center"/>
        <w:rPr>
          <w:b/>
          <w:lang w:val="uk-UA"/>
        </w:rPr>
      </w:pPr>
    </w:p>
    <w:p w:rsidR="00ED6CB9" w:rsidRPr="00A668AA" w:rsidRDefault="00ED6CB9" w:rsidP="00ED6CB9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Сумської</w:t>
      </w:r>
      <w:r w:rsidRPr="00A668AA">
        <w:rPr>
          <w:b/>
          <w:lang w:val="uk-UA"/>
        </w:rPr>
        <w:t xml:space="preserve"> </w:t>
      </w:r>
      <w:r>
        <w:rPr>
          <w:b/>
          <w:lang w:val="uk-UA"/>
        </w:rPr>
        <w:t>обласної</w:t>
      </w:r>
      <w:r w:rsidRPr="00A668AA">
        <w:rPr>
          <w:b/>
          <w:lang w:val="uk-UA"/>
        </w:rPr>
        <w:t xml:space="preserve"> ради,</w:t>
      </w:r>
    </w:p>
    <w:p w:rsidR="00ED6CB9" w:rsidRPr="00A668AA" w:rsidRDefault="00ED6CB9" w:rsidP="00ED6CB9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ED6CB9" w:rsidRPr="00A668AA" w:rsidRDefault="00ED6CB9" w:rsidP="00ED6CB9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Сумської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ED6CB9" w:rsidRDefault="00ED6CB9" w:rsidP="00ED6CB9">
      <w:pPr>
        <w:pStyle w:val="a5"/>
        <w:keepNext/>
        <w:rPr>
          <w:b/>
          <w:lang w:val="uk-UA"/>
        </w:rPr>
      </w:pPr>
    </w:p>
    <w:p w:rsidR="00C2207B" w:rsidRPr="00A668AA" w:rsidRDefault="00C2207B" w:rsidP="00ED6CB9">
      <w:pPr>
        <w:pStyle w:val="a5"/>
        <w:keepNext/>
        <w:rPr>
          <w:b/>
          <w:lang w:val="uk-UA"/>
        </w:rPr>
      </w:pPr>
    </w:p>
    <w:p w:rsidR="00ED6CB9" w:rsidRPr="00A668AA" w:rsidRDefault="00ED6CB9" w:rsidP="00ED6CB9">
      <w:pPr>
        <w:jc w:val="center"/>
        <w:rPr>
          <w:b/>
          <w:lang w:val="uk-UA"/>
        </w:rPr>
      </w:pPr>
      <w:r w:rsidRPr="00A668AA">
        <w:rPr>
          <w:b/>
          <w:lang w:val="uk-UA"/>
        </w:rPr>
        <w:t>РЕКОМЕНДАЦІЇ</w:t>
      </w:r>
    </w:p>
    <w:p w:rsidR="00ED6CB9" w:rsidRPr="00A668AA" w:rsidRDefault="00ED6CB9" w:rsidP="00ED6CB9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ДЛЯ </w:t>
      </w:r>
      <w:r>
        <w:rPr>
          <w:b/>
          <w:lang w:val="uk-UA"/>
        </w:rPr>
        <w:t>СУМСЬКОЇ</w:t>
      </w:r>
      <w:r w:rsidRPr="00A668AA">
        <w:rPr>
          <w:b/>
          <w:lang w:val="uk-UA"/>
        </w:rPr>
        <w:t xml:space="preserve"> ОБЛАСНОЇ РАДИ</w:t>
      </w:r>
    </w:p>
    <w:p w:rsidR="00ED6CB9" w:rsidRDefault="00ED6CB9" w:rsidP="00ED6CB9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ED6CB9" w:rsidRPr="00A668AA" w:rsidRDefault="00ED6CB9" w:rsidP="00ED6CB9">
      <w:pPr>
        <w:rPr>
          <w:b/>
          <w:lang w:val="uk-UA"/>
        </w:rPr>
      </w:pPr>
    </w:p>
    <w:p w:rsidR="00ED6CB9" w:rsidRDefault="00ED6CB9" w:rsidP="00ED6CB9">
      <w:pPr>
        <w:jc w:val="both"/>
        <w:rPr>
          <w:lang w:val="uk-UA"/>
        </w:rPr>
      </w:pPr>
      <w:r>
        <w:rPr>
          <w:lang w:val="uk-UA"/>
        </w:rPr>
        <w:t>Статтями 4 та 63 Регламенту роботи ради визначається порядок доступу до відвідування пленарних засідань представниками засобів масової інформації.</w:t>
      </w:r>
    </w:p>
    <w:p w:rsidR="00ED6CB9" w:rsidRDefault="00ED6CB9" w:rsidP="00ED6CB9">
      <w:pPr>
        <w:jc w:val="both"/>
        <w:rPr>
          <w:lang w:val="uk-UA"/>
        </w:rPr>
      </w:pPr>
      <w:r>
        <w:rPr>
          <w:lang w:val="uk-UA"/>
        </w:rPr>
        <w:t>Окремий порядок акредитації представників засобів масової інформації при обласній раді не затверджувався, проте про такий порядок згадується у відповідних положеннях Регламенту.</w:t>
      </w:r>
    </w:p>
    <w:p w:rsidR="00ED6CB9" w:rsidRPr="00ED6CB9" w:rsidRDefault="00ED6CB9" w:rsidP="00ED6CB9">
      <w:pPr>
        <w:jc w:val="both"/>
        <w:rPr>
          <w:lang w:val="uk-UA"/>
        </w:rPr>
      </w:pPr>
      <w:r w:rsidRPr="00ED6CB9">
        <w:rPr>
          <w:lang w:val="uk-UA"/>
        </w:rPr>
        <w:t xml:space="preserve">Також має місце Положення про </w:t>
      </w:r>
      <w:r w:rsidR="00F75BD7">
        <w:rPr>
          <w:lang w:val="uk-UA"/>
        </w:rPr>
        <w:t>організацію пропускного режиму та охорони в адміністративній будівлі Сумської обласної ради</w:t>
      </w:r>
      <w:r w:rsidRPr="00ED6CB9">
        <w:rPr>
          <w:lang w:val="uk-UA"/>
        </w:rPr>
        <w:t xml:space="preserve"> від 2014 року, де </w:t>
      </w:r>
      <w:r w:rsidR="00F75BD7">
        <w:rPr>
          <w:lang w:val="uk-UA"/>
        </w:rPr>
        <w:t xml:space="preserve">допущення до </w:t>
      </w:r>
      <w:proofErr w:type="spellStart"/>
      <w:r w:rsidR="00F75BD7">
        <w:rPr>
          <w:lang w:val="uk-UA"/>
        </w:rPr>
        <w:t>адмінбудівлі</w:t>
      </w:r>
      <w:proofErr w:type="spellEnd"/>
      <w:r w:rsidR="00F75BD7">
        <w:rPr>
          <w:lang w:val="uk-UA"/>
        </w:rPr>
        <w:t xml:space="preserve"> для представників всеукраїнських, обласних, міських та районних засобів масової інформації </w:t>
      </w:r>
      <w:r w:rsidRPr="00ED6CB9">
        <w:rPr>
          <w:lang w:val="uk-UA"/>
        </w:rPr>
        <w:t>визначен</w:t>
      </w:r>
      <w:r w:rsidR="00F75BD7">
        <w:rPr>
          <w:lang w:val="uk-UA"/>
        </w:rPr>
        <w:t>о за редакційними посвідченнями штатних або позаштатних журналістів чи операторів.</w:t>
      </w:r>
    </w:p>
    <w:p w:rsidR="00ED6CB9" w:rsidRPr="00ED6CB9" w:rsidRDefault="00ED6CB9" w:rsidP="00ED6CB9">
      <w:pPr>
        <w:jc w:val="both"/>
        <w:rPr>
          <w:lang w:val="uk-UA"/>
        </w:rPr>
      </w:pPr>
      <w:r w:rsidRPr="00ED6CB9">
        <w:rPr>
          <w:lang w:val="uk-UA"/>
        </w:rPr>
        <w:t>Відсутність акредитації прямо не визначено як підставу для відмови у допуску, проте</w:t>
      </w:r>
      <w:r w:rsidR="00F75BD7">
        <w:rPr>
          <w:lang w:val="uk-UA"/>
        </w:rPr>
        <w:t xml:space="preserve"> у статтях</w:t>
      </w:r>
      <w:r w:rsidRPr="00ED6CB9">
        <w:rPr>
          <w:lang w:val="uk-UA"/>
        </w:rPr>
        <w:t xml:space="preserve"> 4 та 63 Регламенту визначено, що на пленарних засіданнях можуть перебувати саме акредитовані, що порушує ключові принципи рівності та відкритості.</w:t>
      </w:r>
    </w:p>
    <w:p w:rsidR="00ED6CB9" w:rsidRDefault="00ED6CB9" w:rsidP="00ED6CB9">
      <w:pPr>
        <w:jc w:val="both"/>
        <w:rPr>
          <w:lang w:val="uk-UA"/>
        </w:rPr>
      </w:pPr>
    </w:p>
    <w:p w:rsidR="00C2207B" w:rsidRPr="00ED6CB9" w:rsidRDefault="00C2207B" w:rsidP="00ED6CB9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D6CB9" w:rsidRPr="00A668AA" w:rsidTr="00B22F89">
        <w:tc>
          <w:tcPr>
            <w:tcW w:w="4814" w:type="dxa"/>
          </w:tcPr>
          <w:p w:rsidR="00ED6CB9" w:rsidRPr="00A668AA" w:rsidRDefault="00ED6CB9" w:rsidP="00B22F89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lastRenderedPageBreak/>
              <w:t xml:space="preserve">Проблемні питання </w:t>
            </w:r>
            <w:r>
              <w:rPr>
                <w:b/>
                <w:lang w:val="uk-UA"/>
              </w:rPr>
              <w:t>Регламенту роботи ради</w:t>
            </w:r>
          </w:p>
        </w:tc>
        <w:tc>
          <w:tcPr>
            <w:tcW w:w="4815" w:type="dxa"/>
          </w:tcPr>
          <w:p w:rsidR="00ED6CB9" w:rsidRPr="00A668AA" w:rsidRDefault="00ED6CB9" w:rsidP="00B22F89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ED6CB9" w:rsidRPr="00C2207B" w:rsidTr="00B22F89">
        <w:tc>
          <w:tcPr>
            <w:tcW w:w="4814" w:type="dxa"/>
          </w:tcPr>
          <w:p w:rsidR="00ED6CB9" w:rsidRPr="00A668AA" w:rsidRDefault="00F75BD7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Частиною 1 статті 4 Регламенту визначено можливість Ради прийняти рішення про проведення закритого засідання.</w:t>
            </w:r>
          </w:p>
        </w:tc>
        <w:tc>
          <w:tcPr>
            <w:tcW w:w="4815" w:type="dxa"/>
          </w:tcPr>
          <w:p w:rsidR="00ED6CB9" w:rsidRPr="00F775F1" w:rsidRDefault="00F75BD7" w:rsidP="00B22F89">
            <w:pPr>
              <w:jc w:val="both"/>
              <w:rPr>
                <w:i/>
                <w:lang w:val="uk-UA"/>
              </w:rPr>
            </w:pPr>
            <w:r w:rsidRPr="00CD322E">
              <w:rPr>
                <w:i/>
                <w:lang w:val="uk-UA"/>
              </w:rPr>
              <w:t>У цій частині, вважаємо за необхідне доповнити відповідні положення посиланням на вимоги Закону України «Про доступ до публічної інформації» у частині визначення певної інформації як інформації з обмеженим доступом (конфід</w:t>
            </w:r>
            <w:r>
              <w:rPr>
                <w:i/>
                <w:lang w:val="uk-UA"/>
              </w:rPr>
              <w:t>енційної, таємної чи службової), оскільки закритим можуть бути розгляд відповідних окремих питань, а не все засідання як таке.</w:t>
            </w:r>
          </w:p>
        </w:tc>
      </w:tr>
      <w:tr w:rsidR="00ED6CB9" w:rsidRPr="00C2207B" w:rsidTr="00B22F89">
        <w:tc>
          <w:tcPr>
            <w:tcW w:w="4814" w:type="dxa"/>
          </w:tcPr>
          <w:p w:rsidR="00ED6CB9" w:rsidRPr="009325A0" w:rsidRDefault="00F75BD7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частині 2 статті 4 Регламенту визначено право бути присутніми у ході відкритого засідання Ради тільки акредитованих журналістів. </w:t>
            </w:r>
          </w:p>
        </w:tc>
        <w:tc>
          <w:tcPr>
            <w:tcW w:w="4815" w:type="dxa"/>
          </w:tcPr>
          <w:p w:rsidR="00ED6CB9" w:rsidRDefault="00F75BD7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Варто нагадати, що відповідно до чинного законодавства, </w:t>
            </w:r>
            <w:r w:rsidR="00841DD5">
              <w:rPr>
                <w:i/>
                <w:lang w:val="uk-UA"/>
              </w:rPr>
              <w:t>сесії ради проводяться гласно із забезпеченням права кожного бути присутнім.</w:t>
            </w:r>
          </w:p>
          <w:p w:rsidR="00841DD5" w:rsidRPr="00C0512B" w:rsidRDefault="00841DD5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Зокрема це і стосується журналістів та представників засобів масової інформації, оскільки, крім описаного вище, відсутність акредитації не може бути підставою для недопущення журналістів та представників засобів масової інформації на відкриті заходи.</w:t>
            </w:r>
          </w:p>
        </w:tc>
      </w:tr>
      <w:tr w:rsidR="00ED6CB9" w:rsidRPr="000376BF" w:rsidTr="00B22F89">
        <w:tc>
          <w:tcPr>
            <w:tcW w:w="4814" w:type="dxa"/>
          </w:tcPr>
          <w:p w:rsidR="00ED6CB9" w:rsidRPr="00065D5C" w:rsidRDefault="00841DD5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Частиною 3 статті 4 Регламенту визначається можливість акредитації представників засобів масової інформації у порядку, затвердженому розпорядженням голови Ради.</w:t>
            </w:r>
          </w:p>
        </w:tc>
        <w:tc>
          <w:tcPr>
            <w:tcW w:w="4815" w:type="dxa"/>
          </w:tcPr>
          <w:p w:rsidR="00ED6CB9" w:rsidRPr="00F775F1" w:rsidRDefault="00841DD5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Враховуючи відсутність положення про порядок акредитації чи відповідного розпорядження голови Ради, а також фактичне незастосування акредитаційної процедури, а допуск журналістів та представників засобів масової інформації, у відповідності до Положення про організацію пропускного режиму та охорони в адміністративній будівлі Сумської обласної ради, за редакційними посвідченнями штатного або позаштатного журналіста чи оператора – варто підняти питання необхідності передбачення процедури акредитації у Регламенти.</w:t>
            </w:r>
          </w:p>
        </w:tc>
      </w:tr>
      <w:tr w:rsidR="00ED6CB9" w:rsidRPr="00C2207B" w:rsidTr="00B22F89">
        <w:tc>
          <w:tcPr>
            <w:tcW w:w="4814" w:type="dxa"/>
          </w:tcPr>
          <w:p w:rsidR="00ED6CB9" w:rsidRPr="00065D5C" w:rsidRDefault="00841DD5" w:rsidP="00841D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частині 2 статті 63 Регламенту передбачається можливість бути присутніми на пленарних засіданнях Ради знову ж таки саме тільки для акредитованих журналістів.</w:t>
            </w:r>
          </w:p>
        </w:tc>
        <w:tc>
          <w:tcPr>
            <w:tcW w:w="4815" w:type="dxa"/>
          </w:tcPr>
          <w:p w:rsidR="00475A9B" w:rsidRDefault="00475A9B" w:rsidP="00475A9B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Варто знову нагадати, що відповідно до чинного законодавства, сесії ради проводяться гласно із забезпеченням права кожного бути присутнім.</w:t>
            </w:r>
          </w:p>
          <w:p w:rsidR="00ED6CB9" w:rsidRPr="00F775F1" w:rsidRDefault="00475A9B" w:rsidP="00475A9B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 тому числі це і стосується журналістів та представників засобів масової інформації, оскільки, крім описаного вище, відсутність акредитації не може бути підставою для недопущення журналістів та представників засобів масової інформації на відкриті заходи.</w:t>
            </w:r>
          </w:p>
        </w:tc>
      </w:tr>
      <w:tr w:rsidR="00AA051A" w:rsidRPr="00C2207B" w:rsidTr="00B22F89">
        <w:tc>
          <w:tcPr>
            <w:tcW w:w="4814" w:type="dxa"/>
          </w:tcPr>
          <w:p w:rsidR="00AA051A" w:rsidRDefault="00AA051A" w:rsidP="00841D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Статтею 64 Регламенту передбачається можливість проведення закритого засідання або закритого розгляду окремо визначених питань за рішенням Ради, прийнятим після обговорення більшістю голосів депутатів від загального складу Ради.</w:t>
            </w:r>
          </w:p>
        </w:tc>
        <w:tc>
          <w:tcPr>
            <w:tcW w:w="4815" w:type="dxa"/>
          </w:tcPr>
          <w:p w:rsidR="00AA051A" w:rsidRDefault="00AA051A" w:rsidP="00475A9B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Є необхідним також </w:t>
            </w:r>
            <w:r w:rsidRPr="00CD322E">
              <w:rPr>
                <w:i/>
                <w:lang w:val="uk-UA"/>
              </w:rPr>
              <w:t>доповнити відповідні положення посиланням на вимоги Закону України «Про доступ до публічної інформації» у частині визначення певної інформації як інформації з обмеженим доступом (конфід</w:t>
            </w:r>
            <w:r>
              <w:rPr>
                <w:i/>
                <w:lang w:val="uk-UA"/>
              </w:rPr>
              <w:t>енційної, таємної чи службової), оскільки закритим можуть бути розгляд відповідних окремих питань, а не все засідання як таке.</w:t>
            </w:r>
          </w:p>
        </w:tc>
      </w:tr>
    </w:tbl>
    <w:p w:rsidR="00ED6CB9" w:rsidRPr="00A668AA" w:rsidRDefault="00ED6CB9" w:rsidP="00ED6CB9">
      <w:pPr>
        <w:jc w:val="both"/>
        <w:rPr>
          <w:b/>
          <w:lang w:val="uk-UA"/>
        </w:rPr>
      </w:pPr>
    </w:p>
    <w:p w:rsidR="00ED6CB9" w:rsidRPr="00A668AA" w:rsidRDefault="00ED6CB9" w:rsidP="00ED6CB9">
      <w:pPr>
        <w:jc w:val="both"/>
        <w:rPr>
          <w:lang w:val="uk-UA"/>
        </w:rPr>
      </w:pPr>
      <w:r w:rsidRPr="00A668AA">
        <w:rPr>
          <w:lang w:val="uk-UA"/>
        </w:rPr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ED6CB9" w:rsidRPr="00A668AA" w:rsidRDefault="00ED6CB9" w:rsidP="00ED6CB9">
      <w:pPr>
        <w:jc w:val="both"/>
        <w:rPr>
          <w:b/>
          <w:lang w:val="uk-UA"/>
        </w:rPr>
      </w:pPr>
    </w:p>
    <w:p w:rsidR="00ED6CB9" w:rsidRPr="00A668AA" w:rsidRDefault="00ED6CB9" w:rsidP="00ED6CB9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t xml:space="preserve">Пропонуємо дані рекомендації та викладений нижче проект рішення </w:t>
      </w:r>
      <w:r w:rsidR="00F75BD7">
        <w:rPr>
          <w:rFonts w:asciiTheme="minorHAnsi" w:hAnsiTheme="minorHAnsi"/>
          <w:b/>
          <w:sz w:val="22"/>
          <w:szCs w:val="22"/>
        </w:rPr>
        <w:t>Сумської</w:t>
      </w:r>
      <w:r>
        <w:rPr>
          <w:rFonts w:asciiTheme="minorHAnsi" w:hAnsiTheme="minorHAnsi"/>
          <w:b/>
          <w:sz w:val="22"/>
          <w:szCs w:val="22"/>
        </w:rPr>
        <w:t xml:space="preserve"> обласної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>та винести його на розгляд ради.</w:t>
      </w:r>
    </w:p>
    <w:p w:rsidR="00ED6CB9" w:rsidRPr="00A668AA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Pr="00A668AA" w:rsidRDefault="00ED6CB9" w:rsidP="00ED6CB9">
      <w:pPr>
        <w:jc w:val="both"/>
        <w:rPr>
          <w:lang w:val="uk-UA"/>
        </w:rPr>
      </w:pPr>
    </w:p>
    <w:p w:rsidR="00ED6CB9" w:rsidRPr="00A668AA" w:rsidRDefault="00ED6CB9" w:rsidP="00ED6CB9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ED6CB9" w:rsidRPr="00A668AA" w:rsidRDefault="00ED6CB9" w:rsidP="00ED6CB9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ED6CB9" w:rsidRPr="00A668AA" w:rsidRDefault="00ED6CB9" w:rsidP="00ED6CB9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ED6CB9" w:rsidRDefault="00ED6CB9" w:rsidP="00ED6CB9">
      <w:pPr>
        <w:jc w:val="right"/>
        <w:rPr>
          <w:b/>
          <w:lang w:val="uk-UA"/>
        </w:rPr>
      </w:pPr>
    </w:p>
    <w:p w:rsidR="00ED6CB9" w:rsidRDefault="00ED6CB9" w:rsidP="00ED6CB9">
      <w:pPr>
        <w:jc w:val="right"/>
        <w:rPr>
          <w:b/>
          <w:lang w:val="uk-UA"/>
        </w:rPr>
      </w:pPr>
    </w:p>
    <w:p w:rsidR="00ED6CB9" w:rsidRDefault="00ED6CB9" w:rsidP="00ED6CB9">
      <w:pPr>
        <w:jc w:val="right"/>
        <w:rPr>
          <w:b/>
          <w:lang w:val="uk-UA"/>
        </w:rPr>
      </w:pPr>
    </w:p>
    <w:p w:rsidR="00ED6CB9" w:rsidRDefault="00ED6CB9" w:rsidP="00ED6CB9">
      <w:pPr>
        <w:jc w:val="right"/>
        <w:rPr>
          <w:b/>
          <w:lang w:val="uk-UA"/>
        </w:rPr>
      </w:pPr>
    </w:p>
    <w:p w:rsidR="00ED6CB9" w:rsidRDefault="00ED6CB9" w:rsidP="00ED6CB9">
      <w:pPr>
        <w:jc w:val="right"/>
        <w:rPr>
          <w:b/>
          <w:lang w:val="uk-UA"/>
        </w:rPr>
      </w:pPr>
    </w:p>
    <w:p w:rsidR="00ED6CB9" w:rsidRDefault="00ED6CB9" w:rsidP="00ED6CB9">
      <w:pPr>
        <w:jc w:val="right"/>
        <w:rPr>
          <w:b/>
          <w:lang w:val="uk-UA"/>
        </w:rPr>
      </w:pPr>
    </w:p>
    <w:p w:rsidR="00ED6CB9" w:rsidRDefault="00ED6CB9" w:rsidP="00ED6CB9">
      <w:pPr>
        <w:jc w:val="right"/>
        <w:rPr>
          <w:b/>
          <w:lang w:val="uk-UA"/>
        </w:rPr>
      </w:pPr>
    </w:p>
    <w:p w:rsidR="00ED6CB9" w:rsidRPr="00A668AA" w:rsidRDefault="00ED6CB9" w:rsidP="00ED6CB9">
      <w:pPr>
        <w:jc w:val="right"/>
        <w:rPr>
          <w:b/>
          <w:lang w:val="uk-UA"/>
        </w:rPr>
      </w:pPr>
      <w:bookmarkStart w:id="0" w:name="_GoBack"/>
      <w:bookmarkEnd w:id="0"/>
      <w:r w:rsidRPr="00A668AA">
        <w:rPr>
          <w:b/>
          <w:lang w:val="uk-UA"/>
        </w:rPr>
        <w:lastRenderedPageBreak/>
        <w:t>ДОДАТОК</w:t>
      </w:r>
    </w:p>
    <w:p w:rsidR="00ED6CB9" w:rsidRPr="00A668AA" w:rsidRDefault="00ED6CB9" w:rsidP="00ED6CB9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ED6CB9" w:rsidRPr="00A668AA" w:rsidRDefault="00ED6CB9" w:rsidP="00ED6CB9">
      <w:pPr>
        <w:jc w:val="center"/>
        <w:rPr>
          <w:b/>
          <w:lang w:val="uk-UA"/>
        </w:rPr>
      </w:pPr>
      <w:r w:rsidRPr="00A668AA">
        <w:rPr>
          <w:b/>
          <w:lang w:val="uk-UA"/>
        </w:rPr>
        <w:t>РІШЕННЯ ПРО ВНЕСЕННЯ ЗМІН ДО ЧИННОГО РЕГЛАМЕНТУ</w:t>
      </w:r>
      <w:r>
        <w:rPr>
          <w:b/>
          <w:lang w:val="uk-UA"/>
        </w:rPr>
        <w:t xml:space="preserve"> </w:t>
      </w:r>
      <w:r w:rsidRPr="00A668AA">
        <w:rPr>
          <w:b/>
          <w:lang w:val="uk-UA"/>
        </w:rPr>
        <w:t xml:space="preserve">З МЕТОЮ ПРИВЕДЕННЯ ПОЛОЖЕНЬ ЩОДО ВІДКРИТОСТІ І ГЛАСНОСТІ РОБОТИ </w:t>
      </w:r>
      <w:r w:rsidR="00F75BD7">
        <w:rPr>
          <w:b/>
          <w:lang w:val="uk-UA"/>
        </w:rPr>
        <w:t>СУМСЬКОЇ</w:t>
      </w:r>
      <w:r w:rsidRPr="00A668AA">
        <w:rPr>
          <w:b/>
          <w:lang w:val="uk-UA"/>
        </w:rPr>
        <w:t xml:space="preserve"> ОБЛАСНОЇ РАДИ У ВІДПОВІДНІСТЬ ДО ВИМОГ ЧИННОГО ЗАКОНОДАВСТВА УКРАЇНИ</w:t>
      </w:r>
    </w:p>
    <w:p w:rsidR="00ED6CB9" w:rsidRPr="00A668AA" w:rsidRDefault="00ED6CB9" w:rsidP="00ED6CB9">
      <w:pPr>
        <w:jc w:val="center"/>
        <w:rPr>
          <w:b/>
          <w:lang w:val="uk-UA"/>
        </w:rPr>
      </w:pPr>
    </w:p>
    <w:p w:rsidR="00ED6CB9" w:rsidRPr="00B67E40" w:rsidRDefault="00ED6CB9" w:rsidP="00ED6CB9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положень Регламенту </w:t>
      </w:r>
      <w:r w:rsidR="00F75BD7">
        <w:rPr>
          <w:lang w:val="uk-UA"/>
        </w:rPr>
        <w:t>Сумської</w:t>
      </w:r>
      <w:r w:rsidRPr="00A668AA">
        <w:rPr>
          <w:lang w:val="uk-UA"/>
        </w:rPr>
        <w:t xml:space="preserve"> обласної ради у відповідність до положень </w:t>
      </w:r>
      <w:r w:rsidRPr="00B67E40">
        <w:rPr>
          <w:lang w:val="uk-UA"/>
        </w:rPr>
        <w:t>чинного законодавства:</w:t>
      </w:r>
    </w:p>
    <w:p w:rsidR="00ED6CB9" w:rsidRPr="00AA051A" w:rsidRDefault="00AA051A" w:rsidP="00AA051A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1 статті 4 Регламенту слова «</w:t>
      </w:r>
      <w:r w:rsidRPr="00DB0034">
        <w:rPr>
          <w:i/>
          <w:lang w:val="uk-UA"/>
        </w:rPr>
        <w:t>Рада може прийняти рішення про проведення закритого засідання</w:t>
      </w:r>
      <w:r>
        <w:rPr>
          <w:lang w:val="uk-UA"/>
        </w:rPr>
        <w:t>» замінити на «</w:t>
      </w:r>
      <w:r w:rsidR="00192E49" w:rsidRPr="007810A3">
        <w:rPr>
          <w:i/>
          <w:lang w:val="uk-UA"/>
        </w:rPr>
        <w:t xml:space="preserve">У разі необхідності та наявності законних підстав, можливе прийняття більшістю депутатів від загального складу Ради рішення про </w:t>
      </w:r>
      <w:r w:rsidR="00192E49">
        <w:rPr>
          <w:i/>
          <w:lang w:val="uk-UA"/>
        </w:rPr>
        <w:t xml:space="preserve">закритий </w:t>
      </w:r>
      <w:r w:rsidR="00192E49" w:rsidRPr="007810A3">
        <w:rPr>
          <w:i/>
          <w:lang w:val="uk-UA"/>
        </w:rPr>
        <w:t>розгляд окремо визначених питань відповідно до законодавства України</w:t>
      </w:r>
      <w:r w:rsidR="00192E49" w:rsidRPr="007810A3">
        <w:rPr>
          <w:b/>
          <w:i/>
          <w:lang w:val="uk-UA"/>
        </w:rPr>
        <w:t xml:space="preserve">, у тому числі і Закону України «Про доступ до публічної інформації» у частині обмеження доступу до інформації, </w:t>
      </w:r>
      <w:r w:rsidR="00192E49" w:rsidRPr="007810A3">
        <w:rPr>
          <w:i/>
          <w:lang w:val="uk-UA"/>
        </w:rPr>
        <w:t>в інтересах нерозголошення конфіденційної інформації про особу, державної чи іншої таємниці, щ</w:t>
      </w:r>
      <w:r w:rsidR="00192E49">
        <w:rPr>
          <w:i/>
          <w:lang w:val="uk-UA"/>
        </w:rPr>
        <w:t>о охороняється законами України</w:t>
      </w:r>
      <w:r>
        <w:rPr>
          <w:i/>
          <w:lang w:val="uk-UA"/>
        </w:rPr>
        <w:t>».</w:t>
      </w:r>
    </w:p>
    <w:p w:rsidR="00AA051A" w:rsidRDefault="00AA051A" w:rsidP="00AA051A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2 статті 4 Регламенту слова «</w:t>
      </w:r>
      <w:r w:rsidRPr="00DB0034">
        <w:rPr>
          <w:i/>
          <w:lang w:val="uk-UA"/>
        </w:rPr>
        <w:t>акредитовані журналісти</w:t>
      </w:r>
      <w:r>
        <w:rPr>
          <w:lang w:val="uk-UA"/>
        </w:rPr>
        <w:t>» замінити на «</w:t>
      </w:r>
      <w:r w:rsidRPr="00DB0034">
        <w:rPr>
          <w:i/>
          <w:lang w:val="uk-UA"/>
        </w:rPr>
        <w:t>журналісти та представники засобів масової інформації</w:t>
      </w:r>
      <w:r>
        <w:rPr>
          <w:lang w:val="uk-UA"/>
        </w:rPr>
        <w:t>».</w:t>
      </w:r>
    </w:p>
    <w:p w:rsidR="00AA051A" w:rsidRDefault="00AA051A" w:rsidP="00AA051A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Абзац 2 частини 3 статті 4 Регламенту вилучити повністю.</w:t>
      </w:r>
    </w:p>
    <w:p w:rsidR="00AA051A" w:rsidRDefault="00AA051A" w:rsidP="00AA051A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2 статті 63 Регламенту вилучити слово «</w:t>
      </w:r>
      <w:r w:rsidRPr="00DB0034">
        <w:rPr>
          <w:i/>
          <w:lang w:val="uk-UA"/>
        </w:rPr>
        <w:t>акредитовані</w:t>
      </w:r>
      <w:r>
        <w:rPr>
          <w:lang w:val="uk-UA"/>
        </w:rPr>
        <w:t>».</w:t>
      </w:r>
    </w:p>
    <w:p w:rsidR="00AA051A" w:rsidRDefault="001738C3" w:rsidP="00AA051A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Частину 1 статті 64 Регламенту викласти у наступній редакції:</w:t>
      </w:r>
    </w:p>
    <w:p w:rsidR="001738C3" w:rsidRDefault="001738C3" w:rsidP="001738C3">
      <w:pPr>
        <w:pStyle w:val="a7"/>
        <w:jc w:val="both"/>
        <w:rPr>
          <w:i/>
          <w:lang w:val="uk-UA"/>
        </w:rPr>
      </w:pPr>
      <w:r>
        <w:rPr>
          <w:lang w:val="uk-UA"/>
        </w:rPr>
        <w:t>«</w:t>
      </w:r>
      <w:r w:rsidRPr="007810A3">
        <w:rPr>
          <w:i/>
          <w:lang w:val="uk-UA"/>
        </w:rPr>
        <w:t xml:space="preserve">У разі необхідності та наявності законних підстав, можливе прийняття більшістю депутатів від загального складу Ради рішення про </w:t>
      </w:r>
      <w:r>
        <w:rPr>
          <w:i/>
          <w:lang w:val="uk-UA"/>
        </w:rPr>
        <w:t xml:space="preserve">закритий </w:t>
      </w:r>
      <w:r w:rsidRPr="007810A3">
        <w:rPr>
          <w:i/>
          <w:lang w:val="uk-UA"/>
        </w:rPr>
        <w:t>розгляд окремо визначених питань відповідно до законодавства України</w:t>
      </w:r>
      <w:r w:rsidRPr="007810A3">
        <w:rPr>
          <w:b/>
          <w:i/>
          <w:lang w:val="uk-UA"/>
        </w:rPr>
        <w:t xml:space="preserve">, у тому числі і Закону України «Про доступ до публічної інформації» у частині обмеження доступу до інформації, </w:t>
      </w:r>
      <w:r w:rsidRPr="007810A3">
        <w:rPr>
          <w:i/>
          <w:lang w:val="uk-UA"/>
        </w:rPr>
        <w:t>в інтересах нерозголошення конфіденційної інформації про особу, державної чи іншої таємниці, щ</w:t>
      </w:r>
      <w:r>
        <w:rPr>
          <w:i/>
          <w:lang w:val="uk-UA"/>
        </w:rPr>
        <w:t>о охороняється законами України.»</w:t>
      </w:r>
    </w:p>
    <w:p w:rsidR="001738C3" w:rsidRDefault="001738C3" w:rsidP="001738C3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2 статті 64 Регламенту слова «</w:t>
      </w:r>
      <w:r w:rsidRPr="00DB0034">
        <w:rPr>
          <w:i/>
          <w:lang w:val="uk-UA"/>
        </w:rPr>
        <w:t>На закритому пленарному засіданні Ради</w:t>
      </w:r>
      <w:r>
        <w:rPr>
          <w:lang w:val="uk-UA"/>
        </w:rPr>
        <w:t>» замінити на «</w:t>
      </w:r>
      <w:r w:rsidRPr="00DB0034">
        <w:rPr>
          <w:i/>
          <w:lang w:val="uk-UA"/>
        </w:rPr>
        <w:t>Під час закритого розгляду окремо визначених питань</w:t>
      </w:r>
      <w:r>
        <w:rPr>
          <w:lang w:val="uk-UA"/>
        </w:rPr>
        <w:t>».</w:t>
      </w:r>
    </w:p>
    <w:p w:rsidR="001738C3" w:rsidRDefault="001738C3" w:rsidP="001738C3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3 статті 64 Регламенту слова «</w:t>
      </w:r>
      <w:r w:rsidRPr="00DB0034">
        <w:rPr>
          <w:i/>
          <w:lang w:val="uk-UA"/>
        </w:rPr>
        <w:t>на закритому пленарному засіданні Ради</w:t>
      </w:r>
      <w:r>
        <w:rPr>
          <w:lang w:val="uk-UA"/>
        </w:rPr>
        <w:t>» замінити на «</w:t>
      </w:r>
      <w:r w:rsidRPr="00DB0034">
        <w:rPr>
          <w:i/>
          <w:lang w:val="uk-UA"/>
        </w:rPr>
        <w:t>під час закритого розгляду окремо визначених питань</w:t>
      </w:r>
      <w:r>
        <w:rPr>
          <w:lang w:val="uk-UA"/>
        </w:rPr>
        <w:t>».</w:t>
      </w:r>
    </w:p>
    <w:p w:rsidR="001738C3" w:rsidRDefault="001738C3" w:rsidP="001738C3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4 статті 64 Регламенту слова «</w:t>
      </w:r>
      <w:r w:rsidRPr="00DB0034">
        <w:rPr>
          <w:i/>
          <w:lang w:val="uk-UA"/>
        </w:rPr>
        <w:t>у закритому пленарному засіданні Ради</w:t>
      </w:r>
      <w:r>
        <w:rPr>
          <w:lang w:val="uk-UA"/>
        </w:rPr>
        <w:t>» замінити на «</w:t>
      </w:r>
      <w:r w:rsidRPr="00DB0034">
        <w:rPr>
          <w:i/>
          <w:lang w:val="uk-UA"/>
        </w:rPr>
        <w:t>у закритому розгляді окремо визначених питань</w:t>
      </w:r>
      <w:r>
        <w:rPr>
          <w:lang w:val="uk-UA"/>
        </w:rPr>
        <w:t>».</w:t>
      </w:r>
    </w:p>
    <w:p w:rsidR="001738C3" w:rsidRDefault="001738C3" w:rsidP="001738C3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частині 5 статті 64 Регламенту слова «</w:t>
      </w:r>
      <w:r w:rsidRPr="00DB0034">
        <w:rPr>
          <w:i/>
          <w:lang w:val="uk-UA"/>
        </w:rPr>
        <w:t>закритого пленарного засіданні Ради</w:t>
      </w:r>
      <w:r>
        <w:rPr>
          <w:lang w:val="uk-UA"/>
        </w:rPr>
        <w:t>» замінити на «</w:t>
      </w:r>
      <w:r w:rsidRPr="00DB0034">
        <w:rPr>
          <w:i/>
          <w:lang w:val="uk-UA"/>
        </w:rPr>
        <w:t>закритого розгляду окремо визначених питань</w:t>
      </w:r>
      <w:r>
        <w:rPr>
          <w:lang w:val="uk-UA"/>
        </w:rPr>
        <w:t>».</w:t>
      </w:r>
    </w:p>
    <w:p w:rsidR="001738C3" w:rsidRPr="001738C3" w:rsidRDefault="001738C3" w:rsidP="003C7213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CF097C">
        <w:rPr>
          <w:lang w:val="uk-UA"/>
        </w:rPr>
        <w:t>У частині 6 статті 64 Регламенту слова «</w:t>
      </w:r>
      <w:r w:rsidRPr="00CF097C">
        <w:rPr>
          <w:i/>
          <w:lang w:val="uk-UA"/>
        </w:rPr>
        <w:t>закритого пленарного засідання</w:t>
      </w:r>
      <w:r w:rsidRPr="00CF097C">
        <w:rPr>
          <w:lang w:val="uk-UA"/>
        </w:rPr>
        <w:t>» замінити на «</w:t>
      </w:r>
      <w:r w:rsidRPr="00CF097C">
        <w:rPr>
          <w:i/>
          <w:lang w:val="uk-UA"/>
        </w:rPr>
        <w:t>закритого розгляду окремо визначених питань</w:t>
      </w:r>
      <w:r w:rsidRPr="00CF097C">
        <w:rPr>
          <w:lang w:val="uk-UA"/>
        </w:rPr>
        <w:t>».</w:t>
      </w:r>
    </w:p>
    <w:sectPr w:rsidR="001738C3" w:rsidRPr="00173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3F8"/>
    <w:multiLevelType w:val="hybridMultilevel"/>
    <w:tmpl w:val="2E4C8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B9"/>
    <w:rsid w:val="0017238E"/>
    <w:rsid w:val="001738C3"/>
    <w:rsid w:val="00192E49"/>
    <w:rsid w:val="00320B39"/>
    <w:rsid w:val="00475A9B"/>
    <w:rsid w:val="0053106E"/>
    <w:rsid w:val="00841DD5"/>
    <w:rsid w:val="00AA051A"/>
    <w:rsid w:val="00C2207B"/>
    <w:rsid w:val="00C639A0"/>
    <w:rsid w:val="00CF097C"/>
    <w:rsid w:val="00D40661"/>
    <w:rsid w:val="00DB0034"/>
    <w:rsid w:val="00ED6CB9"/>
    <w:rsid w:val="00F25851"/>
    <w:rsid w:val="00F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C471"/>
  <w15:chartTrackingRefBased/>
  <w15:docId w15:val="{DE05B594-B82B-46F8-8E9D-DB93CA5A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B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ED6CB9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ED6CB9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ED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4870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9</cp:revision>
  <dcterms:created xsi:type="dcterms:W3CDTF">2017-10-01T20:33:00Z</dcterms:created>
  <dcterms:modified xsi:type="dcterms:W3CDTF">2017-10-04T08:18:00Z</dcterms:modified>
</cp:coreProperties>
</file>