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4F" w:rsidRPr="00A668AA" w:rsidRDefault="00DE5C4F" w:rsidP="00DE5C4F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AEC21B9" wp14:editId="5FD6A52D">
            <wp:extent cx="6172200" cy="118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Оцінка імі 2017 регламент р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63" cy="11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4F" w:rsidRPr="00A668AA" w:rsidRDefault="00845495" w:rsidP="00DE5C4F">
      <w:pPr>
        <w:rPr>
          <w:b/>
          <w:lang w:val="uk-UA"/>
        </w:rPr>
      </w:pPr>
      <w:r>
        <w:rPr>
          <w:b/>
          <w:lang w:val="uk-UA"/>
        </w:rPr>
        <w:t>Вих.№4</w:t>
      </w:r>
      <w:r w:rsidR="00DE5C4F">
        <w:rPr>
          <w:b/>
          <w:lang w:val="uk-UA"/>
        </w:rPr>
        <w:t xml:space="preserve"> від 5.10.2017</w:t>
      </w:r>
    </w:p>
    <w:p w:rsidR="00555337" w:rsidRPr="00A668AA" w:rsidRDefault="00555337" w:rsidP="00555337">
      <w:pPr>
        <w:jc w:val="center"/>
        <w:rPr>
          <w:b/>
          <w:lang w:val="uk-UA"/>
        </w:rPr>
      </w:pPr>
    </w:p>
    <w:p w:rsidR="00555337" w:rsidRPr="00A668AA" w:rsidRDefault="00555337" w:rsidP="0055533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Житомирської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555337" w:rsidRPr="00A668AA" w:rsidRDefault="00555337" w:rsidP="00555337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555337" w:rsidRPr="00A668AA" w:rsidRDefault="00555337" w:rsidP="00555337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Житомирської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>, а також Положення про порядок акредитації представників ЗМІ,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555337" w:rsidRPr="00A668AA" w:rsidRDefault="00555337" w:rsidP="00555337">
      <w:pPr>
        <w:pStyle w:val="a5"/>
        <w:keepNext/>
        <w:rPr>
          <w:b/>
          <w:lang w:val="uk-UA"/>
        </w:rPr>
      </w:pPr>
    </w:p>
    <w:p w:rsidR="00555337" w:rsidRPr="00A668AA" w:rsidRDefault="00555337" w:rsidP="00555337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555337" w:rsidRPr="00A668AA" w:rsidRDefault="00555337" w:rsidP="0055533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>
        <w:rPr>
          <w:b/>
          <w:lang w:val="uk-UA"/>
        </w:rPr>
        <w:t>ЖИТОМИРСЬКОЇ</w:t>
      </w:r>
      <w:r w:rsidRPr="00A668AA">
        <w:rPr>
          <w:b/>
          <w:lang w:val="uk-UA"/>
        </w:rPr>
        <w:t xml:space="preserve"> ОБЛАСНОЇ РАДИ</w:t>
      </w:r>
    </w:p>
    <w:p w:rsidR="00555337" w:rsidRDefault="00555337" w:rsidP="00555337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555337" w:rsidRPr="00A668AA" w:rsidRDefault="00555337" w:rsidP="00555337">
      <w:pPr>
        <w:rPr>
          <w:b/>
          <w:lang w:val="uk-UA"/>
        </w:rPr>
      </w:pPr>
    </w:p>
    <w:p w:rsidR="00555337" w:rsidRDefault="00555337" w:rsidP="00555337">
      <w:pPr>
        <w:jc w:val="both"/>
        <w:rPr>
          <w:lang w:val="uk-UA"/>
        </w:rPr>
      </w:pPr>
      <w:r>
        <w:rPr>
          <w:lang w:val="uk-UA"/>
        </w:rPr>
        <w:t>У Житомирській обласній раді є Положення про порядок акредитації представників ЗМІ, яке було затверджено розпорядженням голови обласної ради від 08.02.10 №3.</w:t>
      </w:r>
    </w:p>
    <w:p w:rsidR="00555337" w:rsidRDefault="00555337" w:rsidP="00555337">
      <w:pPr>
        <w:jc w:val="both"/>
        <w:rPr>
          <w:lang w:val="uk-UA"/>
        </w:rPr>
      </w:pPr>
      <w:r>
        <w:rPr>
          <w:lang w:val="uk-UA"/>
        </w:rPr>
        <w:t>У своїй діяльності обласна рада керується Конституцією України, законами України, чітко дотримується Регламенту роботи ради. Зокрема, статтею 3 Регламент роботи обласної ради передбачено, що засідання обласної ради, її президії, засідання постійних та тимчасових комісій провадяться відкрито і гласно.</w:t>
      </w:r>
      <w:r w:rsidR="000C2EE6">
        <w:rPr>
          <w:lang w:val="uk-UA"/>
        </w:rPr>
        <w:t xml:space="preserve"> Разом з тим у статті 3 Регламенту передбачено можливість акредитації, проте тільки для представників телебачення, радіо і преси.</w:t>
      </w:r>
    </w:p>
    <w:p w:rsidR="00555337" w:rsidRDefault="00555337" w:rsidP="00555337">
      <w:pPr>
        <w:jc w:val="both"/>
        <w:rPr>
          <w:lang w:val="uk-UA"/>
        </w:rPr>
      </w:pPr>
      <w:r>
        <w:rPr>
          <w:lang w:val="uk-UA"/>
        </w:rPr>
        <w:t>У відповіді на запит щодо порядку доступу журналістів до засідань було зазначено, що доступ журналістів, представників громадськості на сесії, засіданнях постійних комісій обласної ради повністю вільний. А акредитація в обласній раді з лютого 2014 року не проводиться, будь-хто бажаючий, за наявності посвідчення особи чи редакційного посвідчення, може бути присутнім на заходах Ради.</w:t>
      </w:r>
    </w:p>
    <w:p w:rsidR="000C2EE6" w:rsidRPr="000C2EE6" w:rsidRDefault="000C2EE6" w:rsidP="000C2EE6">
      <w:pPr>
        <w:jc w:val="both"/>
        <w:rPr>
          <w:lang w:val="uk-UA"/>
        </w:rPr>
      </w:pPr>
      <w:r w:rsidRPr="000C2EE6">
        <w:rPr>
          <w:lang w:val="uk-UA"/>
        </w:rPr>
        <w:t>У Положенні про порядок акредитації представників ЗМІ мають місце додаткові (крім передбачених у Законі) відомості чи документи, що вимагаються до заяви про акредитацію від журналістів та від ЗМІ, а саме: інформація про засновників ЗМІ, тираж, роки народження журналістів, що акредитуються. Таким чином  можлива невмотивована відмова у акредитації, враховуючі додаткові відомості і документи для заявки на акредитацію.</w:t>
      </w:r>
    </w:p>
    <w:p w:rsidR="000C2EE6" w:rsidRPr="000C2EE6" w:rsidRDefault="000C2EE6" w:rsidP="000C2EE6">
      <w:pPr>
        <w:jc w:val="both"/>
        <w:rPr>
          <w:lang w:val="uk-UA"/>
        </w:rPr>
      </w:pPr>
      <w:r w:rsidRPr="000C2EE6">
        <w:rPr>
          <w:lang w:val="uk-UA"/>
        </w:rPr>
        <w:t>Зазначений порядок не оприлюднений на офіційному веб-сайті ради.</w:t>
      </w:r>
    </w:p>
    <w:p w:rsidR="000C2EE6" w:rsidRPr="000C2EE6" w:rsidRDefault="000C2EE6" w:rsidP="000C2EE6">
      <w:pPr>
        <w:jc w:val="both"/>
        <w:rPr>
          <w:lang w:val="uk-UA"/>
        </w:rPr>
      </w:pPr>
      <w:r w:rsidRPr="000C2EE6">
        <w:rPr>
          <w:lang w:val="uk-UA"/>
        </w:rPr>
        <w:lastRenderedPageBreak/>
        <w:t>Процедура припинення акредитації не відповідає вимогам Закону, а також містить посилання на неіснуючі положення законодавства.</w:t>
      </w:r>
    </w:p>
    <w:p w:rsidR="000C2EE6" w:rsidRPr="000C2EE6" w:rsidRDefault="000C2EE6" w:rsidP="000C2EE6">
      <w:pPr>
        <w:jc w:val="both"/>
        <w:rPr>
          <w:lang w:val="uk-UA"/>
        </w:rPr>
      </w:pPr>
      <w:r w:rsidRPr="000C2EE6">
        <w:rPr>
          <w:lang w:val="uk-UA"/>
        </w:rPr>
        <w:t>Враховуючи все вищезазначене, нескасоване Положення не відповідає вимогам Закону, тому варто його все ж скасувати, враховуючи, що воно не застосовується, а сама рада декларує відкритість у повній мірі.</w:t>
      </w:r>
    </w:p>
    <w:p w:rsidR="00555337" w:rsidRPr="000C2EE6" w:rsidRDefault="00555337" w:rsidP="0055533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55337" w:rsidRPr="00A668AA" w:rsidTr="00B22F89">
        <w:tc>
          <w:tcPr>
            <w:tcW w:w="4814" w:type="dxa"/>
          </w:tcPr>
          <w:p w:rsidR="00555337" w:rsidRPr="00A668AA" w:rsidRDefault="00555337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 та Положення про порядок акредитації</w:t>
            </w:r>
          </w:p>
        </w:tc>
        <w:tc>
          <w:tcPr>
            <w:tcW w:w="4815" w:type="dxa"/>
          </w:tcPr>
          <w:p w:rsidR="00555337" w:rsidRPr="00A668AA" w:rsidRDefault="00555337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555337" w:rsidRPr="00226024" w:rsidTr="00B22F89">
        <w:tc>
          <w:tcPr>
            <w:tcW w:w="4814" w:type="dxa"/>
          </w:tcPr>
          <w:p w:rsidR="00555337" w:rsidRPr="00A668AA" w:rsidRDefault="00B42E2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статті 3 Регламенту визначено, що засідання проводяться відкрито і гласно, шляхом публікації їх рішень у газетах, трансляції засідань по телебаченню і радіо.</w:t>
            </w:r>
          </w:p>
        </w:tc>
        <w:tc>
          <w:tcPr>
            <w:tcW w:w="4815" w:type="dxa"/>
          </w:tcPr>
          <w:p w:rsidR="00555337" w:rsidRPr="00F775F1" w:rsidRDefault="00B42E2F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Проте варто відзначити, що проведення відкрито і гласно засідань має також забезпечуватися шляхом можливості вільного доступу до цих засідань усіх охочих, у тому числі і представників ЗМІ.</w:t>
            </w:r>
          </w:p>
        </w:tc>
      </w:tr>
      <w:tr w:rsidR="00555337" w:rsidRPr="00226024" w:rsidTr="00B22F89">
        <w:tc>
          <w:tcPr>
            <w:tcW w:w="4814" w:type="dxa"/>
          </w:tcPr>
          <w:p w:rsidR="00555337" w:rsidRPr="009325A0" w:rsidRDefault="00B42E2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статтею 3 Регламенту визначено можливість Ради прийняти рішення про проведення закритого пленарного засідання.</w:t>
            </w:r>
          </w:p>
        </w:tc>
        <w:tc>
          <w:tcPr>
            <w:tcW w:w="4815" w:type="dxa"/>
          </w:tcPr>
          <w:p w:rsidR="00555337" w:rsidRPr="00F775F1" w:rsidRDefault="009A7C9F" w:rsidP="00B22F89">
            <w:pPr>
              <w:jc w:val="both"/>
              <w:rPr>
                <w:i/>
                <w:lang w:val="uk-UA"/>
              </w:rPr>
            </w:pPr>
            <w:r w:rsidRPr="00CD322E">
              <w:rPr>
                <w:i/>
                <w:lang w:val="uk-UA"/>
              </w:rPr>
              <w:t>У цій частині, вважаємо за необхідне 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доступом (конфід</w:t>
            </w:r>
            <w:r>
              <w:rPr>
                <w:i/>
                <w:lang w:val="uk-UA"/>
              </w:rPr>
              <w:t>енційної, таємної чи службової), оскільки закритим можуть бути розгляд відповідних окремих питань, а не все засідання як таке.</w:t>
            </w:r>
          </w:p>
        </w:tc>
      </w:tr>
      <w:tr w:rsidR="00555337" w:rsidRPr="001429FA" w:rsidTr="00B22F89">
        <w:tc>
          <w:tcPr>
            <w:tcW w:w="4814" w:type="dxa"/>
          </w:tcPr>
          <w:p w:rsidR="00555337" w:rsidRPr="00065D5C" w:rsidRDefault="009A7C9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Крім цього, статтею 3 Регламенту визначено можливість акредитації представників телебачення, радіо і преси та порядок відмови в акредитації, а також її позбавлення.</w:t>
            </w:r>
          </w:p>
        </w:tc>
        <w:tc>
          <w:tcPr>
            <w:tcW w:w="4815" w:type="dxa"/>
          </w:tcPr>
          <w:p w:rsidR="00555337" w:rsidRDefault="009A7C9F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По-перше, враховуючи незастосування акредитації, варто підняти питання необхідності передбачення такого у Регламенті.</w:t>
            </w:r>
          </w:p>
          <w:p w:rsidR="009A7C9F" w:rsidRPr="00F775F1" w:rsidRDefault="009A7C9F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По-друге, визначений підхід порушує принцип рівності, оскільки представники не всіх типів ЗМІ забезпечуються правом бути акредитованими.</w:t>
            </w:r>
            <w:r w:rsidR="001429FA">
              <w:rPr>
                <w:i/>
                <w:lang w:val="uk-UA"/>
              </w:rPr>
              <w:t xml:space="preserve"> </w:t>
            </w:r>
          </w:p>
        </w:tc>
      </w:tr>
      <w:tr w:rsidR="006419B5" w:rsidRPr="00B42E2F" w:rsidTr="00F424A0">
        <w:tc>
          <w:tcPr>
            <w:tcW w:w="9629" w:type="dxa"/>
            <w:gridSpan w:val="2"/>
          </w:tcPr>
          <w:p w:rsidR="006419B5" w:rsidRDefault="006419B5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 стосується Положення, яке не застосовується, то варто відзначити наступне:</w:t>
            </w:r>
          </w:p>
          <w:p w:rsidR="006419B5" w:rsidRDefault="006419B5" w:rsidP="009A7C9F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Неправомірною є визначення права на акредитацію тільки у зареєстрованих відповідно до законодавства ЗМІ (п. 2.1);</w:t>
            </w:r>
          </w:p>
          <w:p w:rsidR="006419B5" w:rsidRPr="006419B5" w:rsidRDefault="006419B5" w:rsidP="009A7C9F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Аналогічно з </w:t>
            </w:r>
            <w:r w:rsidRPr="006419B5">
              <w:rPr>
                <w:lang w:val="uk-UA"/>
              </w:rPr>
              <w:t>приводу зарубіжних ЗМІ, до яких застосовується вимога бути акредитованими при Міністерстві закордонних справ України (оскільки така акредитація не має місця вже багато років) (п. 2.1);</w:t>
            </w:r>
          </w:p>
          <w:p w:rsidR="006419B5" w:rsidRPr="006419B5" w:rsidRDefault="006419B5" w:rsidP="009A7C9F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 xml:space="preserve">Не має законного підґрунтя надання можливості акредитації тільки штатним власним кореспондентам інформаційних агентств, ЗМІ національного рівня та штатним кореспондентам місцевих ЗМІ, але з умовою акредитації по одному журналісту і одному оператору від реакції телекомпанії / по одному журналісту від радіокомпанії / по одному журналісту і одному фотокореспонденту друкованих ЗМІ – такі обмеження порушують </w:t>
            </w:r>
            <w:r w:rsidRPr="006419B5">
              <w:rPr>
                <w:lang w:val="uk-UA"/>
              </w:rPr>
              <w:lastRenderedPageBreak/>
              <w:t>принципи рівності та справедливості, на яких мають ґрунтуватися усі дії, пов’язані з процедурою акредитації, відповідно до ч. 1 ст. 26 Закону України «Про інформацію» (п. 3.2);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Такими що не відповідають положенням Закону про інформацію є також вимоги щодо подання заявки на акредитацію на офіційному бланку редакції ЗМІ і засвідчення такої заявки печаткою ЗМІ. Так само є незаконними вимоги щодо представлення копії свідоцтва про державну реєстрацію ЗМІ (для "новостворених" (як визначити "</w:t>
            </w:r>
            <w:proofErr w:type="spellStart"/>
            <w:r w:rsidRPr="006419B5">
              <w:rPr>
                <w:lang w:val="uk-UA"/>
              </w:rPr>
              <w:t>новоствореність</w:t>
            </w:r>
            <w:proofErr w:type="spellEnd"/>
            <w:r w:rsidRPr="006419B5">
              <w:rPr>
                <w:lang w:val="uk-UA"/>
              </w:rPr>
              <w:t>" газети, наприклад, незрозуміло) друкованих ЗМІ та друкованих ЗМІ, що акредитуються вперше) та копію ліцензії на мовлення (для електронних ЗМІ) (п. 4.2);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Крім цього, не мають законних підстав вимоги щодо зазначення у заявці засновників (співзасновників) або видавців; тиражу і періодичності (для електронних ЗМІ - каналу і регіону мовлення); регіону розповсюдження; рік народження журналіста, щодо якого вноситься подання на акредитацію (п. 4.3);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Неприйняття заявок на основі їх невідповідності вимогам, описаним у відповідних пунктах Положення буде незаконним, оскільки у вказаних пунктах передбачено вимоги, які не передбачені чинним законодавством, а відповідно до положень ч. 2 ст. 26 Закону про інформацію: в акредитації не може бути відмовлено в разі подання усіх документів, передбачених ч. 2 ст. 26 Закону. Як наслідок, невідповідними є й визначені підстави для відмови у акредитації (п. 4.7 Положення), у тому числі і щодо відмови представникам ЗМІ, які раніше були позбавленні акредитації (п. 4.7);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Також цікавим є те, що у п. 5.2 Положення визначені права акредитованих журналістів є аналогічними до всіх тих прав, якими володіють, відповідно до законодавства, усі журналісти та й просто кожна особа без прив'язки до професійної діяльності, тому є не зовсім доцільним наділяти їх тільки акредитованих осіб (п. 5.2);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 xml:space="preserve">Щодо проведення огляду і перевірки апаратури журналістів варто відзначити, що при вході до </w:t>
            </w:r>
            <w:proofErr w:type="spellStart"/>
            <w:r w:rsidRPr="006419B5">
              <w:rPr>
                <w:lang w:val="uk-UA"/>
              </w:rPr>
              <w:t>адмінбудівель</w:t>
            </w:r>
            <w:proofErr w:type="spellEnd"/>
            <w:r w:rsidRPr="006419B5">
              <w:rPr>
                <w:lang w:val="uk-UA"/>
              </w:rPr>
              <w:t xml:space="preserve"> з боку уповноважених представників забезпечення безпеки та охоронних заходів можлива тільки перевірка документів та поверхневий огляд речей - у свою чергу огляди та перевірки апаратури можуть розцінюватися як перевищення повноважень чи самоправство з боку відповідних службових осіб (п. 6.5);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"Усунення від участі у висвітленні заходу" - також є цікавим формулюванням, оскільки запізнення чи залишення місця, що виділено для журналіста не є підставами, ані для припинення акредитації, ані для позбавлення його права вільно відвідувати відкриті заходи суб'єкту владних повноважень (п. 6.5);</w:t>
            </w:r>
          </w:p>
          <w:p w:rsidR="006419B5" w:rsidRPr="006419B5" w:rsidRDefault="006419B5" w:rsidP="006419B5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Що стосується порядку припинення акредитації, варто відзначити, що законодавство не оперує терміном "анулювання". Також варто зазначити, що ч. 7 ст. 26 Закону про інформацію чітко визначено вичерпні підстави та випадки прийняття рішення про припинення акредитації, які не зовсім корелюються з тими підставами, які широко зазначені у тексті Положення (п. 7.1);</w:t>
            </w:r>
          </w:p>
          <w:p w:rsidR="006419B5" w:rsidRPr="006419B5" w:rsidRDefault="006419B5" w:rsidP="00B22F89">
            <w:pPr>
              <w:pStyle w:val="a7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6419B5">
              <w:rPr>
                <w:lang w:val="uk-UA"/>
              </w:rPr>
              <w:t>Варто звернути увагу на те, що посилання у п. 7.1 Положення на ст. 3 Закону України "Про порядок висвітлення діяльності органів державної влади та органів місцевого самоврядування в Україні засобами масової інформації" є також недоречним, оскільки згадану статтю виключено із зазначеного Закону ще у січні 2011 року (п. 7.1).</w:t>
            </w:r>
          </w:p>
        </w:tc>
      </w:tr>
    </w:tbl>
    <w:p w:rsidR="00555337" w:rsidRPr="00A668AA" w:rsidRDefault="00555337" w:rsidP="00555337">
      <w:pPr>
        <w:jc w:val="both"/>
        <w:rPr>
          <w:b/>
          <w:lang w:val="uk-UA"/>
        </w:rPr>
      </w:pPr>
    </w:p>
    <w:p w:rsidR="00555337" w:rsidRPr="00A668AA" w:rsidRDefault="00555337" w:rsidP="00555337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555337" w:rsidRPr="00A668AA" w:rsidRDefault="00555337" w:rsidP="00555337">
      <w:pPr>
        <w:jc w:val="both"/>
        <w:rPr>
          <w:b/>
          <w:lang w:val="uk-UA"/>
        </w:rPr>
      </w:pPr>
    </w:p>
    <w:p w:rsidR="00555337" w:rsidRPr="00A668AA" w:rsidRDefault="00555337" w:rsidP="00555337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lastRenderedPageBreak/>
        <w:t xml:space="preserve">Пропонуємо дані рекомендації та викладений нижче проект рішення </w:t>
      </w:r>
      <w:r w:rsidR="000C2EE6">
        <w:rPr>
          <w:rFonts w:asciiTheme="minorHAnsi" w:hAnsiTheme="minorHAnsi"/>
          <w:b/>
          <w:sz w:val="22"/>
          <w:szCs w:val="22"/>
        </w:rPr>
        <w:t>Житомирської</w:t>
      </w:r>
      <w:r>
        <w:rPr>
          <w:rFonts w:asciiTheme="minorHAnsi" w:hAnsiTheme="minorHAnsi"/>
          <w:b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555337" w:rsidRPr="00A668AA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Pr="00A668AA" w:rsidRDefault="00555337" w:rsidP="00555337">
      <w:pPr>
        <w:jc w:val="both"/>
        <w:rPr>
          <w:lang w:val="uk-UA"/>
        </w:rPr>
      </w:pPr>
    </w:p>
    <w:p w:rsidR="00555337" w:rsidRPr="00A668AA" w:rsidRDefault="00555337" w:rsidP="0055533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555337" w:rsidRPr="00A668AA" w:rsidRDefault="00555337" w:rsidP="0055533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555337" w:rsidRPr="00A668AA" w:rsidRDefault="00555337" w:rsidP="0055533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Default="00555337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810A3" w:rsidRDefault="007810A3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810A3" w:rsidRDefault="007810A3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810A3" w:rsidRDefault="007810A3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810A3" w:rsidRDefault="007810A3" w:rsidP="0055533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555337" w:rsidRPr="00A668AA" w:rsidRDefault="00555337" w:rsidP="00555337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555337" w:rsidRPr="00A668AA" w:rsidRDefault="00555337" w:rsidP="00555337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555337" w:rsidRPr="00A668AA" w:rsidRDefault="00555337" w:rsidP="00555337">
      <w:pPr>
        <w:jc w:val="center"/>
        <w:rPr>
          <w:b/>
          <w:lang w:val="uk-UA"/>
        </w:rPr>
      </w:pPr>
      <w:r w:rsidRPr="00A668AA">
        <w:rPr>
          <w:b/>
          <w:lang w:val="uk-UA"/>
        </w:rPr>
        <w:t>РІШЕННЯ ПРО ВНЕСЕННЯ ЗМІН ДО ЧИННОГО РЕГЛАМЕНТУ</w:t>
      </w:r>
      <w:r w:rsidR="00B42E2F">
        <w:rPr>
          <w:b/>
          <w:lang w:val="uk-UA"/>
        </w:rPr>
        <w:t>, А ТАКОЖ ДО ПОЛОЖЕННЯ ПРО ПОРЯДОК АКРЕДИТАЦІЇ ПРЕДСТАВНИКІВ ЗМІ</w:t>
      </w:r>
      <w:r w:rsidRPr="00A668AA">
        <w:rPr>
          <w:b/>
          <w:lang w:val="uk-UA"/>
        </w:rPr>
        <w:t xml:space="preserve"> З МЕТОЮ ПРИВЕДЕННЯ ПОЛОЖЕНЬ ЩОДО ВІДКРИТОСТІ І ГЛАСНОСТІ РОБОТИ </w:t>
      </w:r>
      <w:r w:rsidR="007810A3">
        <w:rPr>
          <w:b/>
          <w:lang w:val="uk-UA"/>
        </w:rPr>
        <w:t>ЖИТОМИРСЬКОЇ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555337" w:rsidRPr="00A668AA" w:rsidRDefault="00555337" w:rsidP="00555337">
      <w:pPr>
        <w:jc w:val="center"/>
        <w:rPr>
          <w:b/>
          <w:lang w:val="uk-UA"/>
        </w:rPr>
      </w:pPr>
    </w:p>
    <w:p w:rsidR="00555337" w:rsidRDefault="00555337" w:rsidP="00555337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7810A3">
        <w:rPr>
          <w:lang w:val="uk-UA"/>
        </w:rPr>
        <w:t>Житомирської</w:t>
      </w:r>
      <w:r w:rsidRPr="00A668AA">
        <w:rPr>
          <w:lang w:val="uk-UA"/>
        </w:rPr>
        <w:t xml:space="preserve"> обласної ради у відповідність до положень чинного</w:t>
      </w:r>
      <w:r>
        <w:rPr>
          <w:lang w:val="uk-UA"/>
        </w:rPr>
        <w:t xml:space="preserve"> законодавства</w:t>
      </w:r>
      <w:r w:rsidRPr="00A668AA">
        <w:rPr>
          <w:lang w:val="uk-UA"/>
        </w:rPr>
        <w:t>:</w:t>
      </w:r>
    </w:p>
    <w:p w:rsidR="00555337" w:rsidRDefault="007810A3" w:rsidP="007810A3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Статтю 3</w:t>
      </w:r>
      <w:r w:rsidR="00555337">
        <w:rPr>
          <w:lang w:val="uk-UA"/>
        </w:rPr>
        <w:t xml:space="preserve"> Регламенту </w:t>
      </w:r>
      <w:r>
        <w:rPr>
          <w:lang w:val="uk-UA"/>
        </w:rPr>
        <w:t>викласти у наступній редакції:</w:t>
      </w:r>
    </w:p>
    <w:p w:rsidR="007810A3" w:rsidRDefault="007810A3" w:rsidP="007810A3">
      <w:pPr>
        <w:pStyle w:val="a7"/>
        <w:jc w:val="both"/>
        <w:rPr>
          <w:i/>
          <w:lang w:val="uk-UA"/>
        </w:rPr>
      </w:pPr>
      <w:r>
        <w:rPr>
          <w:lang w:val="uk-UA"/>
        </w:rPr>
        <w:t>«</w:t>
      </w:r>
      <w:r w:rsidRPr="007810A3">
        <w:rPr>
          <w:i/>
          <w:lang w:val="uk-UA"/>
        </w:rPr>
        <w:t xml:space="preserve">Засідання обласної ради, її президії, постійних та тимчасових комісій проводяться відкрито і гласно, крім випадків визначених законодавством. </w:t>
      </w:r>
    </w:p>
    <w:p w:rsidR="007810A3" w:rsidRDefault="007810A3" w:rsidP="007810A3">
      <w:pPr>
        <w:pStyle w:val="a7"/>
        <w:jc w:val="both"/>
        <w:rPr>
          <w:lang w:val="uk-UA"/>
        </w:rPr>
      </w:pPr>
      <w:r w:rsidRPr="007810A3">
        <w:rPr>
          <w:i/>
          <w:lang w:val="uk-UA"/>
        </w:rPr>
        <w:t xml:space="preserve">У разі необхідності та наявності законних підстав, можливе прийняття більшістю депутатів від загального складу Ради рішення про </w:t>
      </w:r>
      <w:r w:rsidR="00226024">
        <w:rPr>
          <w:i/>
          <w:lang w:val="uk-UA"/>
        </w:rPr>
        <w:t xml:space="preserve">закритий </w:t>
      </w:r>
      <w:r w:rsidRPr="007810A3">
        <w:rPr>
          <w:i/>
          <w:lang w:val="uk-UA"/>
        </w:rPr>
        <w:t>роз</w:t>
      </w:r>
      <w:r w:rsidR="00226024">
        <w:rPr>
          <w:i/>
          <w:lang w:val="uk-UA"/>
        </w:rPr>
        <w:t xml:space="preserve">гляд окремо визначених питань </w:t>
      </w:r>
      <w:bookmarkStart w:id="0" w:name="_GoBack"/>
      <w:bookmarkEnd w:id="0"/>
      <w:r w:rsidRPr="007810A3">
        <w:rPr>
          <w:i/>
          <w:lang w:val="uk-UA"/>
        </w:rPr>
        <w:t>відповідно до законодавства України</w:t>
      </w:r>
      <w:r w:rsidRPr="007810A3">
        <w:rPr>
          <w:b/>
          <w:i/>
          <w:lang w:val="uk-UA"/>
        </w:rPr>
        <w:t xml:space="preserve">, у тому числі і Закону України «Про доступ до публічної інформації» у частині обмеження доступу до інформації, </w:t>
      </w:r>
      <w:r w:rsidRPr="007810A3">
        <w:rPr>
          <w:i/>
          <w:lang w:val="uk-UA"/>
        </w:rPr>
        <w:t>в інтересах нерозголошення конфіденційної інформації про особу, державної чи іншої таємниці, щ</w:t>
      </w:r>
      <w:r w:rsidR="002471AA">
        <w:rPr>
          <w:i/>
          <w:lang w:val="uk-UA"/>
        </w:rPr>
        <w:t>о охороняється законами України</w:t>
      </w:r>
      <w:r w:rsidRPr="007810A3">
        <w:rPr>
          <w:i/>
          <w:lang w:val="uk-UA"/>
        </w:rPr>
        <w:t>.</w:t>
      </w:r>
      <w:r>
        <w:rPr>
          <w:i/>
          <w:lang w:val="uk-UA"/>
        </w:rPr>
        <w:t>»</w:t>
      </w:r>
    </w:p>
    <w:p w:rsidR="007810A3" w:rsidRDefault="007810A3" w:rsidP="007810A3">
      <w:pPr>
        <w:jc w:val="both"/>
        <w:rPr>
          <w:lang w:val="uk-UA"/>
        </w:rPr>
      </w:pPr>
      <w:r>
        <w:rPr>
          <w:lang w:val="uk-UA"/>
        </w:rPr>
        <w:t>З метою приведення положень щодо відкритості і гласності роботи Житомирської обласної ради у відповідність вимог чинного законодавства:</w:t>
      </w:r>
    </w:p>
    <w:p w:rsidR="007810A3" w:rsidRPr="00A92F45" w:rsidRDefault="007810A3" w:rsidP="00A92F45">
      <w:pPr>
        <w:pStyle w:val="a7"/>
        <w:numPr>
          <w:ilvl w:val="0"/>
          <w:numId w:val="4"/>
        </w:numPr>
        <w:jc w:val="both"/>
        <w:rPr>
          <w:i/>
          <w:lang w:val="uk-UA"/>
        </w:rPr>
      </w:pPr>
      <w:r w:rsidRPr="00A92F45">
        <w:rPr>
          <w:i/>
          <w:lang w:val="uk-UA"/>
        </w:rPr>
        <w:t>Положення про порядок акредитації представників засобів масової інформації при Житомирській обласній раді від 08.02.10 №3 визначити таким, що втратило чинність.</w:t>
      </w:r>
    </w:p>
    <w:p w:rsidR="007810A3" w:rsidRPr="0067595E" w:rsidRDefault="007810A3" w:rsidP="00555337">
      <w:pPr>
        <w:rPr>
          <w:lang w:val="uk-UA"/>
        </w:rPr>
      </w:pPr>
    </w:p>
    <w:p w:rsidR="0017238E" w:rsidRPr="00555337" w:rsidRDefault="0017238E">
      <w:pPr>
        <w:rPr>
          <w:lang w:val="uk-UA"/>
        </w:rPr>
      </w:pPr>
    </w:p>
    <w:sectPr w:rsidR="0017238E" w:rsidRPr="0055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C01"/>
    <w:multiLevelType w:val="hybridMultilevel"/>
    <w:tmpl w:val="DB5CD43C"/>
    <w:lvl w:ilvl="0" w:tplc="BF3A9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274E"/>
    <w:multiLevelType w:val="hybridMultilevel"/>
    <w:tmpl w:val="764EE9AC"/>
    <w:lvl w:ilvl="0" w:tplc="CA9E9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5615DC"/>
    <w:multiLevelType w:val="hybridMultilevel"/>
    <w:tmpl w:val="04AA64D0"/>
    <w:lvl w:ilvl="0" w:tplc="9ADA13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7"/>
    <w:rsid w:val="000C2EE6"/>
    <w:rsid w:val="001429FA"/>
    <w:rsid w:val="0017238E"/>
    <w:rsid w:val="001B1F1B"/>
    <w:rsid w:val="00226024"/>
    <w:rsid w:val="002471AA"/>
    <w:rsid w:val="005521F6"/>
    <w:rsid w:val="00555337"/>
    <w:rsid w:val="006419B5"/>
    <w:rsid w:val="007810A3"/>
    <w:rsid w:val="00845495"/>
    <w:rsid w:val="009A7C9F"/>
    <w:rsid w:val="00A92F45"/>
    <w:rsid w:val="00B42E2F"/>
    <w:rsid w:val="00D40661"/>
    <w:rsid w:val="00DE5C4F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5020"/>
  <w15:chartTrackingRefBased/>
  <w15:docId w15:val="{28D2E249-84EC-4090-A7B7-82E6B51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3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55533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555337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55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6442</Words>
  <Characters>3673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8</cp:revision>
  <dcterms:created xsi:type="dcterms:W3CDTF">2017-09-29T12:03:00Z</dcterms:created>
  <dcterms:modified xsi:type="dcterms:W3CDTF">2017-10-04T08:11:00Z</dcterms:modified>
</cp:coreProperties>
</file>